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Report Analysis Report</w:t>
      </w:r>
    </w:p>
    <w:p>
      <w:pPr>
        <w:jc w:val="center"/>
      </w:pPr>
      <w:r>
        <w:rPr>
          <w:color w:val="003366"/>
          <w:sz w:val="36"/>
        </w:rPr>
        <w:t>Comprehensive Test Report Analysis</w:t>
      </w:r>
    </w:p>
    <w:p>
      <w:pPr>
        <w:jc w:val="center"/>
      </w:pPr>
      <w:r>
        <w:rPr>
          <w:sz w:val="28"/>
        </w:rPr>
        <w:t>Executive Report</w:t>
      </w:r>
    </w:p>
    <w:p>
      <w:pPr>
        <w:jc w:val="center"/>
      </w:pPr>
      <w:r>
        <w:rPr>
          <w:sz w:val="24"/>
        </w:rPr>
        <w:t>Generated on December 19,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Data Overview and Quality Assessment</w:t>
      </w:r>
    </w:p>
    <w:p>
      <w:pPr>
        <w:pStyle w:val="ListNumber"/>
      </w:pPr>
      <w:r>
        <w:t>Key Performance Indicators</w:t>
      </w:r>
    </w:p>
    <w:p>
      <w:pPr>
        <w:pStyle w:val="ListNumber"/>
      </w:pPr>
      <w:r>
        <w:t>status Analysis</w:t>
      </w:r>
    </w:p>
    <w:p>
      <w:pPr>
        <w:pStyle w:val="ListNumber"/>
      </w:pPr>
      <w:r>
        <w:t>Feature Analysis</w:t>
      </w:r>
    </w:p>
    <w:p>
      <w:pPr>
        <w:pStyle w:val="ListNumber"/>
      </w:pPr>
      <w:r>
        <w:t>Statistical Insights</w:t>
      </w:r>
    </w:p>
    <w:p>
      <w:pPr>
        <w:pStyle w:val="ListNumber"/>
      </w:pPr>
      <w:r>
        <w:t>Prediction Scoring</w:t>
      </w:r>
    </w:p>
    <w:p>
      <w:pPr>
        <w:pStyle w:val="ListNumber"/>
      </w:pPr>
      <w:r>
        <w:t>Strategic Recommendations</w:t>
      </w:r>
    </w:p>
    <w:p>
      <w:pPr>
        <w:pStyle w:val="ListNumber"/>
      </w:pPr>
      <w:r>
        <w:t>Appendices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comprehensive report analyzes 8 records for Test Report.</w:t>
        <w:br/>
        <w:t xml:space="preserve">        </w:t>
        <w:br/>
        <w:t xml:space="preserve">        Key Highlights:</w:t>
        <w:br/>
        <w:t xml:space="preserve">        • Overall status rate: 25.0%</w:t>
        <w:br/>
        <w:t xml:space="preserve">        • Total features analyzed: 4</w:t>
        <w:br/>
        <w:t xml:space="preserve">        • Data quality: 100.0% complete</w:t>
        <w:br/>
        <w:t xml:space="preserve">        </w:t>
        <w:br/>
        <w:t xml:space="preserve">        This analysis provides actionable insights through statistical analysis, visualization,</w:t>
        <w:br/>
        <w:t xml:space="preserve">        and predictive scoring to support data-driven decision making.</w:t>
      </w:r>
    </w:p>
    <w:p>
      <w:pPr>
        <w:pStyle w:val="Heading1"/>
      </w:pPr>
      <w:r>
        <w:t>Data Overview and Quality Assessment</w:t>
      </w:r>
    </w:p>
    <w:p>
      <w:r>
        <w:t>**Dataset Size:** 8 records with 5 features</w:t>
      </w:r>
    </w:p>
    <w:p>
      <w:pPr>
        <w:pStyle w:val="Heading2"/>
      </w:pPr>
      <w:r>
        <w:t>Data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Total Records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Total Missing Values</w:t>
            </w:r>
          </w:p>
        </w:tc>
        <w:tc>
          <w:tcPr>
            <w:tcW w:type="dxa" w:w="2880"/>
          </w:tcPr>
          <w:p>
            <w:r>
              <w:t>0 (0.0%)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Data Completeness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Numeric Features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</w:tr>
      <w:tr>
        <w:tc>
          <w:tcPr>
            <w:tcW w:type="dxa" w:w="2880"/>
          </w:tcPr>
          <w:p>
            <w:r>
              <w:t>Categorical Features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</w:tr>
    </w:tbl>
    <w:p>
      <w:pPr>
        <w:pStyle w:val="Heading1"/>
      </w:pPr>
      <w:r>
        <w:t>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status - Positive Class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status Rate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Average age</w:t>
            </w:r>
          </w:p>
        </w:tc>
        <w:tc>
          <w:tcPr>
            <w:tcW w:type="dxa" w:w="4320"/>
          </w:tcPr>
          <w:p>
            <w:r>
              <w:t>33.75</w:t>
            </w:r>
          </w:p>
        </w:tc>
      </w:tr>
      <w:tr>
        <w:tc>
          <w:tcPr>
            <w:tcW w:type="dxa" w:w="4320"/>
          </w:tcPr>
          <w:p>
            <w:r>
              <w:t>Average salary</w:t>
            </w:r>
          </w:p>
        </w:tc>
        <w:tc>
          <w:tcPr>
            <w:tcW w:type="dxa" w:w="4320"/>
          </w:tcPr>
          <w:p>
            <w:r>
              <w:t>72250.00</w:t>
            </w:r>
          </w:p>
        </w:tc>
      </w:tr>
    </w:tbl>
    <w:p>
      <w:pPr>
        <w:pStyle w:val="Heading1"/>
      </w:pPr>
      <w:r>
        <w:t>status Distribution Analysis</w:t>
      </w:r>
    </w:p>
    <w:p>
      <w:r>
        <w:drawing>
          <wp:inline xmlns:a="http://schemas.openxmlformats.org/drawingml/2006/main" xmlns:pic="http://schemas.openxmlformats.org/drawingml/2006/picture">
            <wp:extent cx="4572000" cy="3414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Categorical Features Analysis</w:t>
      </w:r>
    </w:p>
    <w:p>
      <w:pPr>
        <w:pStyle w:val="Heading2"/>
      </w:pPr>
      <w:r>
        <w:t>name Analysis</w:t>
      </w:r>
    </w:p>
    <w:p>
      <w:r>
        <w:drawing>
          <wp:inline xmlns:a="http://schemas.openxmlformats.org/drawingml/2006/main" xmlns:pic="http://schemas.openxmlformats.org/drawingml/2006/picture">
            <wp:extent cx="5486400" cy="3267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n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department Analysis</w:t>
      </w:r>
    </w:p>
    <w:p>
      <w:r>
        <w:drawing>
          <wp:inline xmlns:a="http://schemas.openxmlformats.org/drawingml/2006/main" xmlns:pic="http://schemas.openxmlformats.org/drawingml/2006/picture">
            <wp:extent cx="5486400" cy="3267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depart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Numerical Features Analysis</w:t>
      </w:r>
    </w:p>
    <w:p>
      <w:pPr>
        <w:pStyle w:val="Heading2"/>
      </w:pPr>
      <w:r>
        <w:t>age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670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_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Mean: 33.75</w:t>
        <w:br/>
        <w:t xml:space="preserve">            Median: 32.50</w:t>
        <w:br/>
        <w:t xml:space="preserve">            Std Dev: 6.39</w:t>
        <w:br/>
        <w:t xml:space="preserve">            Min: 27.00</w:t>
        <w:br/>
        <w:t xml:space="preserve">            Max: 45.00</w:t>
      </w:r>
    </w:p>
    <w:p>
      <w:pPr>
        <w:pStyle w:val="Heading2"/>
      </w:pPr>
      <w:r>
        <w:t>salary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67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_sal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Mean: 72250.00</w:t>
        <w:br/>
        <w:t xml:space="preserve">            Median: 72000.00</w:t>
        <w:br/>
        <w:t xml:space="preserve">            Std Dev: 10498.30</w:t>
        <w:br/>
        <w:t xml:space="preserve">            Min: 58000.00</w:t>
        <w:br/>
        <w:t xml:space="preserve">            Max: 92000.00</w:t>
      </w:r>
    </w:p>
    <w:p>
      <w:pPr>
        <w:pStyle w:val="Heading1"/>
      </w:pPr>
      <w:r>
        <w:t>Feature Correlation Analysis</w:t>
      </w:r>
    </w:p>
    <w:p>
      <w:r>
        <w:drawing>
          <wp:inline xmlns:a="http://schemas.openxmlformats.org/drawingml/2006/main" xmlns:pic="http://schemas.openxmlformats.org/drawingml/2006/picture">
            <wp:extent cx="5943600" cy="5287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Predictive Risk Scoring</w:t>
      </w:r>
    </w:p>
    <w:p>
      <w:r>
        <w:t>Risk scores are calculated based on feature importance and correlation with status. Higher scores indicate higher likelihood of the positive outcome.</w:t>
      </w:r>
    </w:p>
    <w:p>
      <w:r>
        <w:drawing>
          <wp:inline xmlns:a="http://schemas.openxmlformats.org/drawingml/2006/main" xmlns:pic="http://schemas.openxmlformats.org/drawingml/2006/picture">
            <wp:extent cx="5486400" cy="3270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sc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Strategic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Recommended Action</w:t>
            </w:r>
          </w:p>
        </w:tc>
        <w:tc>
          <w:tcPr>
            <w:tcW w:type="dxa" w:w="1728"/>
          </w:tcPr>
          <w:p>
            <w:r>
              <w:t>Expected Impact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High variance in status rates</w:t>
            </w:r>
          </w:p>
        </w:tc>
        <w:tc>
          <w:tcPr>
            <w:tcW w:type="dxa" w:w="1728"/>
          </w:tcPr>
          <w:p>
            <w:r>
              <w:t>Focus on Sarah Wilson segment</w:t>
            </w:r>
          </w:p>
        </w:tc>
        <w:tc>
          <w:tcPr>
            <w:tcW w:type="dxa" w:w="1728"/>
          </w:tcPr>
          <w:p>
            <w:r>
              <w:t>100.0% rate in highest segment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High variance in status rates</w:t>
            </w:r>
          </w:p>
        </w:tc>
        <w:tc>
          <w:tcPr>
            <w:tcW w:type="dxa" w:w="1728"/>
          </w:tcPr>
          <w:p>
            <w:r>
              <w:t>Focus on HR segment</w:t>
            </w:r>
          </w:p>
        </w:tc>
        <w:tc>
          <w:tcPr>
            <w:tcW w:type="dxa" w:w="1728"/>
          </w:tcPr>
          <w:p>
            <w:r>
              <w:t>50.0% rate in highest segment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Data Monitoring</w:t>
            </w:r>
          </w:p>
        </w:tc>
        <w:tc>
          <w:tcPr>
            <w:tcW w:type="dxa" w:w="1728"/>
          </w:tcPr>
          <w:p>
            <w:r>
              <w:t>25.0% overall rate</w:t>
            </w:r>
          </w:p>
        </w:tc>
        <w:tc>
          <w:tcPr>
            <w:tcW w:type="dxa" w:w="1728"/>
          </w:tcPr>
          <w:p>
            <w:r>
              <w:t>Implement continuous monitoring and alerting</w:t>
            </w:r>
          </w:p>
        </w:tc>
        <w:tc>
          <w:tcPr>
            <w:tcW w:type="dxa" w:w="1728"/>
          </w:tcPr>
          <w:p>
            <w:r>
              <w:t>Early detection and prevention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Feature Engineering</w:t>
            </w:r>
          </w:p>
        </w:tc>
        <w:tc>
          <w:tcPr>
            <w:tcW w:type="dxa" w:w="1728"/>
          </w:tcPr>
          <w:p>
            <w:r>
              <w:t>4 features analyzed</w:t>
            </w:r>
          </w:p>
        </w:tc>
        <w:tc>
          <w:tcPr>
            <w:tcW w:type="dxa" w:w="1728"/>
          </w:tcPr>
          <w:p>
            <w:r>
              <w:t>Develop additional predictive features</w:t>
            </w:r>
          </w:p>
        </w:tc>
        <w:tc>
          <w:tcPr>
            <w:tcW w:type="dxa" w:w="1728"/>
          </w:tcPr>
          <w:p>
            <w:r>
              <w:t>Improved prediction accuracy</w:t>
            </w:r>
          </w:p>
        </w:tc>
      </w:tr>
    </w:tbl>
    <w:p>
      <w:pPr>
        <w:pStyle w:val="Heading1"/>
      </w:pPr>
      <w:r>
        <w:t>Appendices</w:t>
      </w:r>
    </w:p>
    <w:p>
      <w:pPr>
        <w:pStyle w:val="Heading2"/>
      </w:pPr>
      <w:r>
        <w:t>Appendix A: Feature Summary Statistics</w:t>
      </w:r>
    </w:p>
    <w:p>
      <w:pPr>
        <w:pStyle w:val="Heading3"/>
      </w:pPr>
      <w:r>
        <w:t>Numerical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Std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Missing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33.75</w:t>
            </w:r>
          </w:p>
        </w:tc>
        <w:tc>
          <w:tcPr>
            <w:tcW w:type="dxa" w:w="1440"/>
          </w:tcPr>
          <w:p>
            <w:r>
              <w:t>6.39</w:t>
            </w:r>
          </w:p>
        </w:tc>
        <w:tc>
          <w:tcPr>
            <w:tcW w:type="dxa" w:w="1440"/>
          </w:tcPr>
          <w:p>
            <w:r>
              <w:t>27.00</w:t>
            </w:r>
          </w:p>
        </w:tc>
        <w:tc>
          <w:tcPr>
            <w:tcW w:type="dxa" w:w="1440"/>
          </w:tcPr>
          <w:p>
            <w:r>
              <w:t>45.00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salary</w:t>
            </w:r>
          </w:p>
        </w:tc>
        <w:tc>
          <w:tcPr>
            <w:tcW w:type="dxa" w:w="1440"/>
          </w:tcPr>
          <w:p>
            <w:r>
              <w:t>72250.00</w:t>
            </w:r>
          </w:p>
        </w:tc>
        <w:tc>
          <w:tcPr>
            <w:tcW w:type="dxa" w:w="1440"/>
          </w:tcPr>
          <w:p>
            <w:r>
              <w:t>10498.30</w:t>
            </w:r>
          </w:p>
        </w:tc>
        <w:tc>
          <w:tcPr>
            <w:tcW w:type="dxa" w:w="1440"/>
          </w:tcPr>
          <w:p>
            <w:r>
              <w:t>58000.00</w:t>
            </w:r>
          </w:p>
        </w:tc>
        <w:tc>
          <w:tcPr>
            <w:tcW w:type="dxa" w:w="1440"/>
          </w:tcPr>
          <w:p>
            <w:r>
              <w:t>92000.00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2"/>
      </w:pPr>
      <w:r>
        <w:t>Appendix B: Methodology</w:t>
      </w:r>
    </w:p>
    <w:p>
      <w:r>
        <w:t>Analysis Methodology:</w:t>
        <w:br/>
        <w:t xml:space="preserve">        </w:t>
        <w:br/>
        <w:t xml:space="preserve">        Data Processing:</w:t>
        <w:br/>
        <w:t xml:space="preserve">        - Dataset analyzed: 8 records</w:t>
        <w:br/>
        <w:t xml:space="preserve">        - Target variable: status</w:t>
        <w:br/>
        <w:t xml:space="preserve">        - Positive class: Left</w:t>
        <w:br/>
        <w:t xml:space="preserve">        - Missing values handled appropriately</w:t>
        <w:br/>
        <w:t xml:space="preserve">        </w:t>
        <w:br/>
        <w:t xml:space="preserve">        Statistical Methods:</w:t>
        <w:br/>
        <w:t xml:space="preserve">        - Descriptive statistics for all features</w:t>
        <w:br/>
        <w:t xml:space="preserve">        - Group-wise analysis for categorical variables</w:t>
        <w:br/>
        <w:t xml:space="preserve">        - Distribution analysis for numerical variables</w:t>
        <w:br/>
        <w:t xml:space="preserve">        - Correlation analysis for feature relationships</w:t>
        <w:br/>
        <w:t xml:space="preserve">        - Risk scoring using normalized feature values</w:t>
        <w:br/>
        <w:t xml:space="preserve">        </w:t>
        <w:br/>
        <w:t xml:space="preserve">        Visualization:</w:t>
        <w:br/>
        <w:t xml:space="preserve">        - High-resolution charts (300 DPI)</w:t>
        <w:br/>
        <w:t xml:space="preserve">        - Professional color schemes</w:t>
        <w:br/>
        <w:t xml:space="preserve">        - Multiple chart types for different data types</w:t>
        <w:br/>
        <w:t xml:space="preserve">        </w:t>
        <w:br/>
        <w:t xml:space="preserve">        Report Generation:</w:t>
        <w:br/>
        <w:t xml:space="preserve">        - Automated analysis and insights</w:t>
        <w:br/>
        <w:t xml:space="preserve">        - Actionable recommendations</w:t>
        <w:br/>
        <w:t xml:space="preserve">        - Executive-ready formatting</w:t>
      </w:r>
    </w:p>
    <w:sectPr w:rsidR="00FC693F" w:rsidRPr="0006063C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Test Report Analysis Report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