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Solution Statement</w:t>
      </w:r>
    </w:p>
    <w:p>
      <w:r>
        <w:rPr>
          <w:i/>
          <w:iCs/>
          <w:color w:val="57606A"/>
          <w:sz w:val="22"/>
          <w:szCs w:val="22"/>
        </w:rPr>
        <w:t xml:space="preserve">AI-Powered Infrastructure Agent  ·  WatsonX.ai + HCP Boundary  ·  Python</w:t>
      </w:r>
    </w:p>
    <w:p>
      <w:pPr>
        <w:spacing w:after="40"/>
      </w:pPr>
      <w:r>
        <w:t xml:space="preserve"/>
      </w:r>
    </w:p>
    <w:p>
      <w:pPr>
        <w:pStyle w:val="Heading1"/>
      </w:pPr>
      <w:r>
        <w:t xml:space="preserve">Problem Being Addressed</w:t>
      </w:r>
    </w:p>
    <w:p>
      <w:r>
        <w:rPr>
          <w:sz w:val="22"/>
          <w:szCs w:val="22"/>
        </w:rPr>
        <w:t xml:space="preserve">Platform and site-reliability engineers routinely need to inspect live servers — checking disk usage, memory, running processes, and service health — but doing so requires opening a terminal, locating the right host, obtaining credentials, authenticating through an access broker, and issuing commands manually. Each step adds friction and cognitive overhead. When the same questions are asked repeatedly across multiple hosts or shifts, the process does not scale and audit coverage is inconsistent.</w:t>
      </w:r>
    </w:p>
    <w:p>
      <w:pPr>
        <w:spacing w:after="120"/>
      </w:pPr>
      <w:r>
        <w:rPr>
          <w:sz w:val="22"/>
          <w:szCs w:val="22"/>
        </w:rPr>
        <w:t xml:space="preserve">Existing tooling forces a choice between convenience and security: direct SSH access is fast but bypasses zero-trust controls, while broker-mediated access is auditable but manual and slow.</w:t>
      </w:r>
    </w:p>
    <w:p>
      <w:pPr>
        <w:pStyle w:val="Heading1"/>
      </w:pPr>
      <w:r>
        <w:t xml:space="preserve">Target Users and Interaction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D5E8F0" w:val="clear"/>
            <w:vAlign w:val="center"/>
          </w:tcPr>
          <w:p>
            <w:r>
              <w:rPr>
                <w:b/>
                <w:bCs/>
                <w:sz w:val="22"/>
                <w:szCs w:val="22"/>
              </w:rPr>
              <w:t xml:space="preserve">Role</w:t>
            </w:r>
          </w:p>
        </w:tc>
        <w:tc>
          <w:tcPr>
            <w:tcBorders>
              <w:top w:val="single" w:color="CCCCCC" w:sz="1"/>
              <w:left w:val="single" w:color="CCCCCC" w:sz="1"/>
              <w:bottom w:val="single" w:color="CCCCCC" w:sz="1"/>
              <w:right w:val="single" w:color="CCCCCC" w:sz="1"/>
            </w:tcBorders>
            <w:shd w:fill="D5E8F0" w:val="clear"/>
            <w:vAlign w:val="center"/>
          </w:tcPr>
          <w:p>
            <w:r>
              <w:rPr>
                <w:b/>
                <w:bCs/>
                <w:sz w:val="22"/>
                <w:szCs w:val="22"/>
              </w:rPr>
              <w:t xml:space="preserve">How They Interact</w:t>
            </w:r>
          </w:p>
        </w:tc>
        <w:tc>
          <w:tcPr>
            <w:tcBorders>
              <w:top w:val="single" w:color="CCCCCC" w:sz="1"/>
              <w:left w:val="single" w:color="CCCCCC" w:sz="1"/>
              <w:bottom w:val="single" w:color="CCCCCC" w:sz="1"/>
              <w:right w:val="single" w:color="CCCCCC" w:sz="1"/>
            </w:tcBorders>
            <w:shd w:fill="D5E8F0" w:val="clear"/>
            <w:vAlign w:val="center"/>
          </w:tcPr>
          <w:p>
            <w:r>
              <w:rPr>
                <w:b/>
                <w:bCs/>
                <w:sz w:val="22"/>
                <w:szCs w:val="22"/>
              </w:rPr>
              <w:t xml:space="preserve">Touchpoint</w:t>
            </w:r>
          </w:p>
        </w:tc>
      </w:tr>
      <w:tr>
        <w:tc>
          <w:tcPr>
            <w:tcBorders>
              <w:top w:val="single" w:color="CCCCCC" w:sz="1"/>
              <w:left w:val="single" w:color="CCCCCC" w:sz="1"/>
              <w:bottom w:val="single" w:color="CCCCCC" w:sz="1"/>
              <w:right w:val="single" w:color="CCCCCC" w:sz="1"/>
            </w:tcBorders>
          </w:tcPr>
          <w:p>
            <w:r>
              <w:rPr>
                <w:b/>
                <w:bCs/>
                <w:sz w:val="22"/>
                <w:szCs w:val="22"/>
              </w:rPr>
              <w:t xml:space="preserve">Platform / DevOps Engineer</w:t>
            </w:r>
          </w:p>
        </w:tc>
        <w:tc>
          <w:tcPr>
            <w:tcBorders>
              <w:top w:val="single" w:color="CCCCCC" w:sz="1"/>
              <w:left w:val="single" w:color="CCCCCC" w:sz="1"/>
              <w:bottom w:val="single" w:color="CCCCCC" w:sz="1"/>
              <w:right w:val="single" w:color="CCCCCC" w:sz="1"/>
            </w:tcBorders>
          </w:tcPr>
          <w:p>
            <w:r>
              <w:rPr>
                <w:sz w:val="22"/>
                <w:szCs w:val="22"/>
              </w:rPr>
              <w:t xml:space="preserve">Types natural-language questions — "Show me disk usage", "Is the app process running?" — and receives plain-English answers without writing a command.</w:t>
            </w:r>
          </w:p>
        </w:tc>
        <w:tc>
          <w:tcPr>
            <w:tcBorders>
              <w:top w:val="single" w:color="CCCCCC" w:sz="1"/>
              <w:left w:val="single" w:color="CCCCCC" w:sz="1"/>
              <w:bottom w:val="single" w:color="CCCCCC" w:sz="1"/>
              <w:right w:val="single" w:color="CCCCCC" w:sz="1"/>
            </w:tcBorders>
          </w:tcPr>
          <w:p>
            <w:r>
              <w:rPr>
                <w:sz w:val="22"/>
                <w:szCs w:val="22"/>
              </w:rPr>
              <w:t xml:space="preserve">Terminal chat REPL (python main.py)</w:t>
            </w:r>
          </w:p>
        </w:tc>
      </w:tr>
      <w:tr>
        <w:tc>
          <w:tcPr>
            <w:tcBorders>
              <w:top w:val="single" w:color="CCCCCC" w:sz="1"/>
              <w:left w:val="single" w:color="CCCCCC" w:sz="1"/>
              <w:bottom w:val="single" w:color="CCCCCC" w:sz="1"/>
              <w:right w:val="single" w:color="CCCCCC" w:sz="1"/>
            </w:tcBorders>
          </w:tcPr>
          <w:p>
            <w:r>
              <w:rPr>
                <w:b/>
                <w:bCs/>
                <w:sz w:val="22"/>
                <w:szCs w:val="22"/>
              </w:rPr>
              <w:t xml:space="preserve">SRE / On-Call Responder</w:t>
            </w:r>
          </w:p>
        </w:tc>
        <w:tc>
          <w:tcPr>
            <w:tcBorders>
              <w:top w:val="single" w:color="CCCCCC" w:sz="1"/>
              <w:left w:val="single" w:color="CCCCCC" w:sz="1"/>
              <w:bottom w:val="single" w:color="CCCCCC" w:sz="1"/>
              <w:right w:val="single" w:color="CCCCCC" w:sz="1"/>
            </w:tcBorders>
          </w:tcPr>
          <w:p>
            <w:r>
              <w:rPr>
                <w:sz w:val="22"/>
                <w:szCs w:val="22"/>
              </w:rPr>
              <w:t xml:space="preserve">During incident triage, gathers host state across multiple diagnostic questions in one persistent shell session — working directory and context preserved between turns.</w:t>
            </w:r>
          </w:p>
        </w:tc>
        <w:tc>
          <w:tcPr>
            <w:tcBorders>
              <w:top w:val="single" w:color="CCCCCC" w:sz="1"/>
              <w:left w:val="single" w:color="CCCCCC" w:sz="1"/>
              <w:bottom w:val="single" w:color="CCCCCC" w:sz="1"/>
              <w:right w:val="single" w:color="CCCCCC" w:sz="1"/>
            </w:tcBorders>
          </w:tcPr>
          <w:p>
            <w:r>
              <w:rPr>
                <w:sz w:val="22"/>
                <w:szCs w:val="22"/>
              </w:rPr>
              <w:t xml:space="preserve">Same terminal session; no reconnect needed</w:t>
            </w:r>
          </w:p>
        </w:tc>
      </w:tr>
      <w:tr>
        <w:tc>
          <w:tcPr>
            <w:tcBorders>
              <w:top w:val="single" w:color="CCCCCC" w:sz="1"/>
              <w:left w:val="single" w:color="CCCCCC" w:sz="1"/>
              <w:bottom w:val="single" w:color="CCCCCC" w:sz="1"/>
              <w:right w:val="single" w:color="CCCCCC" w:sz="1"/>
            </w:tcBorders>
          </w:tcPr>
          <w:p>
            <w:r>
              <w:rPr>
                <w:b/>
                <w:bCs/>
                <w:sz w:val="22"/>
                <w:szCs w:val="22"/>
              </w:rPr>
              <w:t xml:space="preserve">Security / Audit Team</w:t>
            </w:r>
          </w:p>
        </w:tc>
        <w:tc>
          <w:tcPr>
            <w:tcBorders>
              <w:top w:val="single" w:color="CCCCCC" w:sz="1"/>
              <w:left w:val="single" w:color="CCCCCC" w:sz="1"/>
              <w:bottom w:val="single" w:color="CCCCCC" w:sz="1"/>
              <w:right w:val="single" w:color="CCCCCC" w:sz="1"/>
            </w:tcBorders>
          </w:tcPr>
          <w:p>
            <w:r>
              <w:rPr>
                <w:sz w:val="22"/>
                <w:szCs w:val="22"/>
              </w:rPr>
              <w:t xml:space="preserve">Reviews HCP Boundary session recordings that capture every agent conversation as a single continuous interactive session.</w:t>
            </w:r>
          </w:p>
        </w:tc>
        <w:tc>
          <w:tcPr>
            <w:tcBorders>
              <w:top w:val="single" w:color="CCCCCC" w:sz="1"/>
              <w:left w:val="single" w:color="CCCCCC" w:sz="1"/>
              <w:bottom w:val="single" w:color="CCCCCC" w:sz="1"/>
              <w:right w:val="single" w:color="CCCCCC" w:sz="1"/>
            </w:tcBorders>
          </w:tcPr>
          <w:p>
            <w:r>
              <w:rPr>
                <w:sz w:val="22"/>
                <w:szCs w:val="22"/>
              </w:rPr>
              <w:t xml:space="preserve">HCP Boundary admin console</w:t>
            </w:r>
          </w:p>
        </w:tc>
      </w:tr>
    </w:tbl>
    <w:p>
      <w:pPr>
        <w:spacing w:after="40"/>
      </w:pPr>
      <w:r>
        <w:t xml:space="preserve"/>
      </w:r>
    </w:p>
    <w:p>
      <w:pPr>
        <w:pStyle w:val="Heading1"/>
      </w:pPr>
      <w:r>
        <w:t xml:space="preserve">Anticipated Outcomes</w:t>
      </w:r>
    </w:p>
    <w:p>
      <w:pPr>
        <w:pStyle w:val="ListParagraph"/>
        <w:numPr>
          <w:ilvl w:val="0"/>
          <w:numId w:val="2"/>
        </w:numPr>
      </w:pPr>
      <w:r>
        <w:rPr>
          <w:sz w:val="22"/>
          <w:szCs w:val="22"/>
        </w:rPr>
        <w:t xml:space="preserve">Time to insight reduced from 3–5 minutes of setup and command recall to a single natural-language turn in an already-open session.</w:t>
      </w:r>
    </w:p>
    <w:p>
      <w:pPr>
        <w:pStyle w:val="ListParagraph"/>
        <w:numPr>
          <w:ilvl w:val="0"/>
          <w:numId w:val="2"/>
        </w:numPr>
      </w:pPr>
      <w:r>
        <w:rPr>
          <w:sz w:val="22"/>
          <w:szCs w:val="22"/>
        </w:rPr>
        <w:t xml:space="preserve">Consistent audit trail: every agent conversation produces a single HCP Boundary session recording regardless of how many commands were run — no extra effort required.</w:t>
      </w:r>
    </w:p>
    <w:p>
      <w:pPr>
        <w:pStyle w:val="ListParagraph"/>
        <w:numPr>
          <w:ilvl w:val="0"/>
          <w:numId w:val="2"/>
        </w:numPr>
      </w:pPr>
      <w:r>
        <w:rPr>
          <w:sz w:val="22"/>
          <w:szCs w:val="22"/>
        </w:rPr>
        <w:t xml:space="preserve">Zero credential exposure: SSH credentials are injected by HCP Boundary at the Worker layer and exist only in memory during the connection handshake; never written to disk.</w:t>
      </w:r>
    </w:p>
    <w:p>
      <w:pPr>
        <w:pStyle w:val="ListParagraph"/>
        <w:numPr>
          <w:ilvl w:val="0"/>
          <w:numId w:val="2"/>
        </w:numPr>
      </w:pPr>
      <w:r>
        <w:rPr>
          <w:sz w:val="22"/>
          <w:szCs w:val="22"/>
        </w:rPr>
        <w:t xml:space="preserve">Safety by default: destructive operations (shutdown, rm -rf, iptables changes, user management) are blocked at the prompt level with a clear explanation and a safe alternative offered.</w:t>
      </w:r>
    </w:p>
    <w:p>
      <w:pPr>
        <w:spacing w:after="40"/>
      </w:pPr>
      <w:r>
        <w:t xml:space="preserve"/>
      </w:r>
    </w:p>
    <w:p>
      <w:pPr>
        <w:pStyle w:val="Heading1"/>
      </w:pPr>
      <w:r>
        <w:t xml:space="preserve">How AI Provides the Value</w:t>
      </w:r>
    </w:p>
    <w:p>
      <w:r>
        <w:rPr>
          <w:sz w:val="22"/>
          <w:szCs w:val="22"/>
        </w:rPr>
        <w:t xml:space="preserve">The AI layer (IBM Granite / Llama 3.3 70B via WatsonX.ai) bridges natural language and operational precision through a ReAct (Reason + Act) reasoning loop. At each turn it decides which tool to invoke, what arguments to pass, and when it has enough information to produce a final answer — without explicit programming for each question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4680"/>
        <w:gridCol w:w="4680"/>
      </w:tblGrid>
      <w:tr>
        <w:trPr>
          <w:tblHeader/>
        </w:trPr>
        <w:tc>
          <w:tcPr>
            <w:tcBorders>
              <w:top w:val="single" w:color="CCCCCC" w:sz="1"/>
              <w:left w:val="single" w:color="CCCCCC" w:sz="1"/>
              <w:bottom w:val="single" w:color="CCCCCC" w:sz="1"/>
              <w:right w:val="single" w:color="CCCCCC" w:sz="1"/>
            </w:tcBorders>
            <w:shd w:fill="D5E8F0" w:val="clear"/>
            <w:vAlign w:val="center"/>
          </w:tcPr>
          <w:p>
            <w:r>
              <w:rPr>
                <w:b/>
                <w:bCs/>
                <w:sz w:val="22"/>
                <w:szCs w:val="22"/>
              </w:rPr>
              <w:t xml:space="preserve">AI Capability</w:t>
            </w:r>
          </w:p>
        </w:tc>
        <w:tc>
          <w:tcPr>
            <w:tcBorders>
              <w:top w:val="single" w:color="CCCCCC" w:sz="1"/>
              <w:left w:val="single" w:color="CCCCCC" w:sz="1"/>
              <w:bottom w:val="single" w:color="CCCCCC" w:sz="1"/>
              <w:right w:val="single" w:color="CCCCCC" w:sz="1"/>
            </w:tcBorders>
            <w:shd w:fill="D5E8F0" w:val="clear"/>
            <w:vAlign w:val="center"/>
          </w:tcPr>
          <w:p>
            <w:r>
              <w:rPr>
                <w:b/>
                <w:bCs/>
                <w:sz w:val="22"/>
                <w:szCs w:val="22"/>
              </w:rPr>
              <w:t xml:space="preserve">Example</w:t>
            </w:r>
          </w:p>
        </w:tc>
      </w:tr>
      <w:tr>
        <w:tc>
          <w:tcPr>
            <w:tcBorders>
              <w:top w:val="single" w:color="CCCCCC" w:sz="1"/>
              <w:left w:val="single" w:color="CCCCCC" w:sz="1"/>
              <w:bottom w:val="single" w:color="CCCCCC" w:sz="1"/>
              <w:right w:val="single" w:color="CCCCCC" w:sz="1"/>
            </w:tcBorders>
          </w:tcPr>
          <w:p>
            <w:r>
              <w:rPr>
                <w:b/>
                <w:bCs/>
                <w:sz w:val="22"/>
                <w:szCs w:val="22"/>
              </w:rPr>
              <w:t xml:space="preserve">Intent interpretation</w:t>
            </w:r>
          </w:p>
        </w:tc>
        <w:tc>
          <w:tcPr>
            <w:tcBorders>
              <w:top w:val="single" w:color="CCCCCC" w:sz="1"/>
              <w:left w:val="single" w:color="CCCCCC" w:sz="1"/>
              <w:bottom w:val="single" w:color="CCCCCC" w:sz="1"/>
              <w:right w:val="single" w:color="CCCCCC" w:sz="1"/>
            </w:tcBorders>
          </w:tcPr>
          <w:p>
            <w:r>
              <w:rPr>
                <w:sz w:val="22"/>
                <w:szCs w:val="22"/>
              </w:rPr>
              <w:t xml:space="preserve">"Is this host healthy?" → runs uptime, free -h, df -h /, synthesises a verdict</w:t>
            </w:r>
          </w:p>
        </w:tc>
      </w:tr>
      <w:tr>
        <w:tc>
          <w:tcPr>
            <w:tcBorders>
              <w:top w:val="single" w:color="CCCCCC" w:sz="1"/>
              <w:left w:val="single" w:color="CCCCCC" w:sz="1"/>
              <w:bottom w:val="single" w:color="CCCCCC" w:sz="1"/>
              <w:right w:val="single" w:color="CCCCCC" w:sz="1"/>
            </w:tcBorders>
          </w:tcPr>
          <w:p>
            <w:r>
              <w:rPr>
                <w:b/>
                <w:bCs/>
                <w:sz w:val="22"/>
                <w:szCs w:val="22"/>
              </w:rPr>
              <w:t xml:space="preserve">Multi-step planning</w:t>
            </w:r>
          </w:p>
        </w:tc>
        <w:tc>
          <w:tcPr>
            <w:tcBorders>
              <w:top w:val="single" w:color="CCCCCC" w:sz="1"/>
              <w:left w:val="single" w:color="CCCCCC" w:sz="1"/>
              <w:bottom w:val="single" w:color="CCCCCC" w:sz="1"/>
              <w:right w:val="single" w:color="CCCCCC" w:sz="1"/>
            </w:tcBorders>
          </w:tcPr>
          <w:p>
            <w:r>
              <w:rPr>
                <w:sz w:val="22"/>
                <w:szCs w:val="22"/>
              </w:rPr>
              <w:t xml:space="preserve">Knows to call connect_to_host before run_command without being told on every turn</w:t>
            </w:r>
          </w:p>
        </w:tc>
      </w:tr>
      <w:tr>
        <w:tc>
          <w:tcPr>
            <w:tcBorders>
              <w:top w:val="single" w:color="CCCCCC" w:sz="1"/>
              <w:left w:val="single" w:color="CCCCCC" w:sz="1"/>
              <w:bottom w:val="single" w:color="CCCCCC" w:sz="1"/>
              <w:right w:val="single" w:color="CCCCCC" w:sz="1"/>
            </w:tcBorders>
          </w:tcPr>
          <w:p>
            <w:r>
              <w:rPr>
                <w:b/>
                <w:bCs/>
                <w:sz w:val="22"/>
                <w:szCs w:val="22"/>
              </w:rPr>
              <w:t xml:space="preserve">Output interpretation</w:t>
            </w:r>
          </w:p>
        </w:tc>
        <w:tc>
          <w:tcPr>
            <w:tcBorders>
              <w:top w:val="single" w:color="CCCCCC" w:sz="1"/>
              <w:left w:val="single" w:color="CCCCCC" w:sz="1"/>
              <w:bottom w:val="single" w:color="CCCCCC" w:sz="1"/>
              <w:right w:val="single" w:color="CCCCCC" w:sz="1"/>
            </w:tcBorders>
          </w:tcPr>
          <w:p>
            <w:r>
              <w:rPr>
                <w:sz w:val="22"/>
                <w:szCs w:val="22"/>
              </w:rPr>
              <w:t xml:space="preserve">Reads raw free -h output and returns "3.5 GB used of 8 GB total, 4.5 GB free" in one sentence</w:t>
            </w:r>
          </w:p>
        </w:tc>
      </w:tr>
      <w:tr>
        <w:tc>
          <w:tcPr>
            <w:tcBorders>
              <w:top w:val="single" w:color="CCCCCC" w:sz="1"/>
              <w:left w:val="single" w:color="CCCCCC" w:sz="1"/>
              <w:bottom w:val="single" w:color="CCCCCC" w:sz="1"/>
              <w:right w:val="single" w:color="CCCCCC" w:sz="1"/>
            </w:tcBorders>
          </w:tcPr>
          <w:p>
            <w:r>
              <w:rPr>
                <w:b/>
                <w:bCs/>
                <w:sz w:val="22"/>
                <w:szCs w:val="22"/>
              </w:rPr>
              <w:t xml:space="preserve">Safety reasoning</w:t>
            </w:r>
          </w:p>
        </w:tc>
        <w:tc>
          <w:tcPr>
            <w:tcBorders>
              <w:top w:val="single" w:color="CCCCCC" w:sz="1"/>
              <w:left w:val="single" w:color="CCCCCC" w:sz="1"/>
              <w:bottom w:val="single" w:color="CCCCCC" w:sz="1"/>
              <w:right w:val="single" w:color="CCCCCC" w:sz="1"/>
            </w:tcBorders>
          </w:tcPr>
          <w:p>
            <w:r>
              <w:rPr>
                <w:sz w:val="22"/>
                <w:szCs w:val="22"/>
              </w:rPr>
              <w:t xml:space="preserve">Recognises "clean up old logs" could be destructive and asks for clarification before acting</w:t>
            </w:r>
          </w:p>
        </w:tc>
      </w:tr>
    </w:tbl>
    <w:p>
      <w:pPr>
        <w:spacing w:after="40"/>
      </w:pPr>
      <w:r>
        <w:t xml:space="preserve"/>
      </w:r>
    </w:p>
    <w:p>
      <w:pPr>
        <w:pStyle w:val="Heading1"/>
      </w:pPr>
      <w:r>
        <w:t xml:space="preserve">Time Savings from AI-Assisted Development</w:t>
      </w:r>
    </w:p>
    <w:p>
      <w:r>
        <w:rPr>
          <w:sz w:val="22"/>
          <w:szCs w:val="22"/>
        </w:rPr>
        <w:t xml:space="preserve">Estimated manual effort: ~10 developer-days    </w:t>
      </w:r>
      <w:r>
        <w:rPr>
          <w:b/>
          <w:bCs/>
          <w:sz w:val="22"/>
          <w:szCs w:val="22"/>
        </w:rPr>
        <w:t xml:space="preserve">Actual AI-assisted: ~1 day  (~8–10× reduction)</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800"/>
        <w:gridCol w:w="1120"/>
        <w:gridCol w:w="5440"/>
      </w:tblGrid>
      <w:tr>
        <w:trPr>
          <w:tblHeader/>
        </w:trPr>
        <w:tc>
          <w:tcPr>
            <w:tcW w:type="dxa" w:w="2800"/>
            <w:tcBorders>
              <w:top w:val="single" w:color="CCCCCC" w:sz="1"/>
              <w:left w:val="single" w:color="CCCCCC" w:sz="1"/>
              <w:bottom w:val="single" w:color="CCCCCC" w:sz="1"/>
              <w:right w:val="single" w:color="CCCCCC" w:sz="1"/>
            </w:tcBorders>
            <w:shd w:fill="D5E8F0" w:val="clear"/>
          </w:tcPr>
          <w:p>
            <w:r>
              <w:rPr>
                <w:b/>
                <w:bCs/>
                <w:sz w:val="22"/>
                <w:szCs w:val="22"/>
              </w:rPr>
              <w:t xml:space="preserve">Component</w:t>
            </w:r>
          </w:p>
        </w:tc>
        <w:tc>
          <w:tcPr>
            <w:tcW w:type="dxa" w:w="1120"/>
            <w:tcBorders>
              <w:top w:val="single" w:color="CCCCCC" w:sz="1"/>
              <w:left w:val="single" w:color="CCCCCC" w:sz="1"/>
              <w:bottom w:val="single" w:color="CCCCCC" w:sz="1"/>
              <w:right w:val="single" w:color="CCCCCC" w:sz="1"/>
            </w:tcBorders>
            <w:shd w:fill="D5E8F0" w:val="clear"/>
          </w:tcPr>
          <w:p>
            <w:r>
              <w:rPr>
                <w:b/>
                <w:bCs/>
                <w:sz w:val="22"/>
                <w:szCs w:val="22"/>
              </w:rPr>
              <w:t xml:space="preserve">Est. Days</w:t>
            </w:r>
          </w:p>
        </w:tc>
        <w:tc>
          <w:tcPr>
            <w:tcW w:type="dxa" w:w="5440"/>
            <w:tcBorders>
              <w:top w:val="single" w:color="CCCCCC" w:sz="1"/>
              <w:left w:val="single" w:color="CCCCCC" w:sz="1"/>
              <w:bottom w:val="single" w:color="CCCCCC" w:sz="1"/>
              <w:right w:val="single" w:color="CCCCCC" w:sz="1"/>
            </w:tcBorders>
            <w:shd w:fill="D5E8F0" w:val="clear"/>
          </w:tcPr>
          <w:p>
            <w:r>
              <w:rPr>
                <w:b/>
                <w:bCs/>
                <w:sz w:val="22"/>
                <w:szCs w:val="22"/>
              </w:rPr>
              <w:t xml:space="preserve">Reasoning</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ReAct loop + prompt engineering (agent.py)</w:t>
            </w:r>
          </w:p>
        </w:tc>
        <w:tc>
          <w:tcPr>
            <w:tcW w:type="dxa" w:w="1120"/>
            <w:tcBorders>
              <w:top w:val="single" w:color="CCCCCC" w:sz="1"/>
              <w:left w:val="single" w:color="CCCCCC" w:sz="1"/>
              <w:bottom w:val="single" w:color="CCCCCC" w:sz="1"/>
              <w:right w:val="single" w:color="CCCCCC" w:sz="1"/>
            </w:tcBorders>
          </w:tcPr>
          <w:p>
            <w:pPr>
              <w:jc w:val="center"/>
            </w:pPr>
            <w:r>
              <w:rPr>
                <w:sz w:val="22"/>
                <w:szCs w:val="22"/>
              </w:rPr>
              <w:t xml:space="preserve">1.5</w:t>
            </w:r>
          </w:p>
        </w:tc>
        <w:tc>
          <w:tcPr>
            <w:tcW w:type="dxa" w:w="5440"/>
            <w:tcBorders>
              <w:top w:val="single" w:color="CCCCCC" w:sz="1"/>
              <w:left w:val="single" w:color="CCCCCC" w:sz="1"/>
              <w:bottom w:val="single" w:color="CCCCCC" w:sz="1"/>
              <w:right w:val="single" w:color="CCCCCC" w:sz="1"/>
            </w:tcBorders>
          </w:tcPr>
          <w:p>
            <w:r>
              <w:rPr>
                <w:sz w:val="22"/>
                <w:szCs w:val="22"/>
              </w:rPr>
              <w:t xml:space="preserve">JSON-only response protocol, safety rules block, multi-step loop, parse/fallback logic — all require careful iteration to get reliable model behaviour.</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HCP Boundary session management (boundary_session.py)</w:t>
            </w:r>
          </w:p>
        </w:tc>
        <w:tc>
          <w:tcPr>
            <w:tcW w:type="dxa" w:w="1120"/>
            <w:tcBorders>
              <w:top w:val="single" w:color="CCCCCC" w:sz="1"/>
              <w:left w:val="single" w:color="CCCCCC" w:sz="1"/>
              <w:bottom w:val="single" w:color="CCCCCC" w:sz="1"/>
              <w:right w:val="single" w:color="CCCCCC" w:sz="1"/>
            </w:tcBorders>
          </w:tcPr>
          <w:p>
            <w:pPr>
              <w:jc w:val="center"/>
            </w:pPr>
            <w:r>
              <w:rPr>
                <w:sz w:val="22"/>
                <w:szCs w:val="22"/>
              </w:rPr>
              <w:t xml:space="preserve">2.0</w:t>
            </w:r>
          </w:p>
        </w:tc>
        <w:tc>
          <w:tcPr>
            <w:tcW w:type="dxa" w:w="5440"/>
            <w:tcBorders>
              <w:top w:val="single" w:color="CCCCCC" w:sz="1"/>
              <w:left w:val="single" w:color="CCCCCC" w:sz="1"/>
              <w:bottom w:val="single" w:color="CCCCCC" w:sz="1"/>
              <w:right w:val="single" w:color="CCCCCC" w:sz="1"/>
            </w:tcBorders>
          </w:tcPr>
          <w:p>
            <w:r>
              <w:rPr>
                <w:sz w:val="22"/>
                <w:szCs w:val="22"/>
              </w:rPr>
              <w:t xml:space="preserve">CLI v0.21 quirks: env:// password requirement, -style=none removal, JSON first-line parsing, credential extraction from two possible JSON shapes.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Persistent paramiko shell (ssh_exec.py)</w:t>
            </w:r>
          </w:p>
        </w:tc>
        <w:tc>
          <w:tcPr>
            <w:tcW w:type="dxa" w:w="1120"/>
            <w:tcBorders>
              <w:top w:val="single" w:color="CCCCCC" w:sz="1"/>
              <w:left w:val="single" w:color="CCCCCC" w:sz="1"/>
              <w:bottom w:val="single" w:color="CCCCCC" w:sz="1"/>
              <w:right w:val="single" w:color="CCCCCC" w:sz="1"/>
            </w:tcBorders>
          </w:tcPr>
          <w:p>
            <w:pPr>
              <w:jc w:val="center"/>
            </w:pPr>
            <w:r>
              <w:rPr>
                <w:sz w:val="22"/>
                <w:szCs w:val="22"/>
              </w:rPr>
              <w:t xml:space="preserve">2.0</w:t>
            </w:r>
          </w:p>
        </w:tc>
        <w:tc>
          <w:tcPr>
            <w:tcW w:type="dxa" w:w="5440"/>
            <w:tcBorders>
              <w:top w:val="single" w:color="CCCCCC" w:sz="1"/>
              <w:left w:val="single" w:color="CCCCCC" w:sz="1"/>
              <w:bottom w:val="single" w:color="CCCCCC" w:sz="1"/>
              <w:right w:val="single" w:color="CCCCCC" w:sz="1"/>
            </w:tcBorders>
          </w:tcPr>
          <w:p>
            <w:r>
              <w:rPr>
                <w:sz w:val="22"/>
                <w:szCs w:val="22"/>
              </w:rPr>
              <w:t xml:space="preserve">auth_none fallback chain, PTY + sentinel-based output delimiting, ANSI stripping, PROMPT_COMMAND clearing, and timeout handling are each non-trivial to discover and get right.</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REPL + UX (main.py)</w:t>
            </w:r>
          </w:p>
        </w:tc>
        <w:tc>
          <w:tcPr>
            <w:tcW w:type="dxa" w:w="1120"/>
            <w:tcBorders>
              <w:top w:val="single" w:color="CCCCCC" w:sz="1"/>
              <w:left w:val="single" w:color="CCCCCC" w:sz="1"/>
              <w:bottom w:val="single" w:color="CCCCCC" w:sz="1"/>
              <w:right w:val="single" w:color="CCCCCC" w:sz="1"/>
            </w:tcBorders>
          </w:tcPr>
          <w:p>
            <w:pPr>
              <w:jc w:val="center"/>
            </w:pPr>
            <w:r>
              <w:rPr>
                <w:sz w:val="22"/>
                <w:szCs w:val="22"/>
              </w:rPr>
              <w:t xml:space="preserve">1.0</w:t>
            </w:r>
          </w:p>
        </w:tc>
        <w:tc>
          <w:tcPr>
            <w:tcW w:type="dxa" w:w="5440"/>
            <w:tcBorders>
              <w:top w:val="single" w:color="CCCCCC" w:sz="1"/>
              <w:left w:val="single" w:color="CCCCCC" w:sz="1"/>
              <w:bottom w:val="single" w:color="CCCCCC" w:sz="1"/>
              <w:right w:val="single" w:color="CCCCCC" w:sz="1"/>
            </w:tcBorders>
          </w:tcPr>
          <w:p>
            <w:r>
              <w:rPr>
                <w:sz w:val="22"/>
                <w:szCs w:val="22"/>
              </w:rPr>
              <w:t xml:space="preserve">Auth method resolution, masked getpass prompt, inactivity timer with threading.Timer (daemon mode, reset-on-input), readline integration, Rich formatting.</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WatsonX SDK wrapper (watsonx_llm.py)</w:t>
            </w:r>
          </w:p>
        </w:tc>
        <w:tc>
          <w:tcPr>
            <w:tcW w:type="dxa" w:w="1120"/>
            <w:tcBorders>
              <w:top w:val="single" w:color="CCCCCC" w:sz="1"/>
              <w:left w:val="single" w:color="CCCCCC" w:sz="1"/>
              <w:bottom w:val="single" w:color="CCCCCC" w:sz="1"/>
              <w:right w:val="single" w:color="CCCCCC" w:sz="1"/>
            </w:tcBorders>
          </w:tcPr>
          <w:p>
            <w:pPr>
              <w:jc w:val="center"/>
            </w:pPr>
            <w:r>
              <w:rPr>
                <w:sz w:val="22"/>
                <w:szCs w:val="22"/>
              </w:rPr>
              <w:t xml:space="preserve">0.5</w:t>
            </w:r>
          </w:p>
        </w:tc>
        <w:tc>
          <w:tcPr>
            <w:tcW w:type="dxa" w:w="5440"/>
            <w:tcBorders>
              <w:top w:val="single" w:color="CCCCCC" w:sz="1"/>
              <w:left w:val="single" w:color="CCCCCC" w:sz="1"/>
              <w:bottom w:val="single" w:color="CCCCCC" w:sz="1"/>
              <w:right w:val="single" w:color="CCCCCC" w:sz="1"/>
            </w:tcBorders>
          </w:tcPr>
          <w:p>
            <w:r>
              <w:rPr>
                <w:sz w:val="22"/>
                <w:szCs w:val="22"/>
              </w:rPr>
              <w:t xml:space="preserve">Discovering chat() vs generate_text(), model ID differences, lazy init pattern.</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24 offline unit tests</w:t>
            </w:r>
          </w:p>
        </w:tc>
        <w:tc>
          <w:tcPr>
            <w:tcW w:type="dxa" w:w="1120"/>
            <w:tcBorders>
              <w:top w:val="single" w:color="CCCCCC" w:sz="1"/>
              <w:left w:val="single" w:color="CCCCCC" w:sz="1"/>
              <w:bottom w:val="single" w:color="CCCCCC" w:sz="1"/>
              <w:right w:val="single" w:color="CCCCCC" w:sz="1"/>
            </w:tcBorders>
          </w:tcPr>
          <w:p>
            <w:pPr>
              <w:jc w:val="center"/>
            </w:pPr>
            <w:r>
              <w:rPr>
                <w:sz w:val="22"/>
                <w:szCs w:val="22"/>
              </w:rPr>
              <w:t xml:space="preserve">1.5</w:t>
            </w:r>
          </w:p>
        </w:tc>
        <w:tc>
          <w:tcPr>
            <w:tcW w:type="dxa" w:w="5440"/>
            <w:tcBorders>
              <w:top w:val="single" w:color="CCCCCC" w:sz="1"/>
              <w:left w:val="single" w:color="CCCCCC" w:sz="1"/>
              <w:bottom w:val="single" w:color="CCCCCC" w:sz="1"/>
              <w:right w:val="single" w:color="CCCCCC" w:sz="1"/>
            </w:tcBorders>
          </w:tcPr>
          <w:p>
            <w:r>
              <w:rPr>
                <w:sz w:val="22"/>
                <w:szCs w:val="22"/>
              </w:rPr>
              <w:t xml:space="preserve">Mocking subprocess (Popen + readline), paramiko Transport/Channel, ModelInference — each requires careful fixture design to test realistic failure paths.</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ARCHITECTURE.md + BLOG.md</w:t>
            </w:r>
          </w:p>
        </w:tc>
        <w:tc>
          <w:tcPr>
            <w:tcW w:type="dxa" w:w="1120"/>
            <w:tcBorders>
              <w:top w:val="single" w:color="CCCCCC" w:sz="1"/>
              <w:left w:val="single" w:color="CCCCCC" w:sz="1"/>
              <w:bottom w:val="single" w:color="CCCCCC" w:sz="1"/>
              <w:right w:val="single" w:color="CCCCCC" w:sz="1"/>
            </w:tcBorders>
          </w:tcPr>
          <w:p>
            <w:pPr>
              <w:jc w:val="center"/>
            </w:pPr>
            <w:r>
              <w:rPr>
                <w:sz w:val="22"/>
                <w:szCs w:val="22"/>
              </w:rPr>
              <w:t xml:space="preserve">1.5</w:t>
            </w:r>
          </w:p>
        </w:tc>
        <w:tc>
          <w:tcPr>
            <w:tcW w:type="dxa" w:w="5440"/>
            <w:tcBorders>
              <w:top w:val="single" w:color="CCCCCC" w:sz="1"/>
              <w:left w:val="single" w:color="CCCCCC" w:sz="1"/>
              <w:bottom w:val="single" w:color="CCCCCC" w:sz="1"/>
              <w:right w:val="single" w:color="CCCCCC" w:sz="1"/>
            </w:tcBorders>
          </w:tcPr>
          <w:p>
            <w:r>
              <w:rPr>
                <w:sz w:val="22"/>
                <w:szCs w:val="22"/>
              </w:rPr>
              <w:t xml:space="preserve">ASCII flow diagrams, design decision tables, detailed component documentation, and a ~3,000-word technical blog with code samples.</w:t>
            </w:r>
          </w:p>
        </w:tc>
      </w:tr>
    </w:tbl>
    <w:p>
      <w:pPr>
        <w:spacing w:after="80"/>
      </w:pPr>
      <w:r>
        <w:t xml:space="preserve"/>
      </w:r>
    </w:p>
    <w:p>
      <w:r>
        <w:rPr>
          <w:i/>
          <w:iCs/>
          <w:sz w:val="22"/>
          <w:szCs w:val="22"/>
        </w:rPr>
        <w:t xml:space="preserve">How the estimate was derived: Each component was sized at a senior engineer's realistic pace — accounting for documentation reading, debugging version-specific CLI behaviour, iterating on prompt design to get reliable JSON-only responses, and writing tests against mocked I/O. The total of ~10 developer-days assumes no prior familiarity with the HCP Boundary CLI JSON interface or paramiko's Transport-level API. With AI assistance, the same working codebase, passing tests, and full documentation were produced in a single session (~6–8 hours of interactive development), representing roughly an 8–10× reduction in elapsed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jc w:val="left"/>
    </w:pPr>
    <w:rPr>
      <w:rFonts w:ascii="Arial" w:cs="Arial" w:eastAsia="Arial" w:hAnsi="Arial"/>
      <w:b/>
      <w:bCs/>
      <w:color w:val="000000"/>
      <w:sz w:val="52"/>
      <w:szCs w:val="52"/>
    </w:rPr>
  </w:style>
  <w:style w:type="paragraph" w:styleId="Heading1">
    <w:name w:val="Heading 1"/>
    <w:basedOn w:val="Normal"/>
    <w:next w:val="Normal"/>
    <w:qFormat/>
    <w:pPr>
      <w:spacing w:after="100" w:before="280"/>
      <w:outlineLvl w:val="0"/>
    </w:pPr>
    <w:rPr>
      <w:rFonts w:ascii="Arial" w:cs="Arial" w:eastAsia="Arial" w:hAnsi="Arial"/>
      <w:b/>
      <w:bCs/>
      <w:color w:val="1F4E79"/>
      <w:sz w:val="28"/>
      <w:szCs w:val="28"/>
    </w:rPr>
  </w:style>
  <w:style w:type="paragraph" w:styleId="Subtitle">
    <w:name w:val="Subtitle"/>
    <w:basedOn w:val="Normal"/>
    <w:pPr>
      <w:spacing w:after="200" w:before="0"/>
    </w:pPr>
    <w:rPr>
      <w:rFonts w:ascii="Arial" w:cs="Arial" w:eastAsia="Arial" w:hAnsi="Arial"/>
      <w:i/>
      <w:iCs/>
      <w:color w:val="5760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2026-07-13T00:53:32.007Z</dcterms:created>
  <dcterms:modified xsi:type="dcterms:W3CDTF">2026-07-13T00:53:32.008Z</dcterms:modified>
</cp:coreProperties>
</file>

<file path=docProps/custom.xml><?xml version="1.0" encoding="utf-8"?>
<Properties xmlns="http://schemas.openxmlformats.org/officeDocument/2006/custom-properties" xmlns:vt="http://schemas.openxmlformats.org/officeDocument/2006/docPropsVTypes"/>
</file>