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400"/>
              <w:left w:type="dxa" w:w="400"/>
              <w:bottom w:type="dxa" w:w="400"/>
              <w:right w:type="dxa" w:w="400"/>
            </w:tcMar>
          </w:tcPr>
          <w:p>
            <w:pPr>
              <w:spacing w:before="40" w:after="20"/>
              <w:jc w:val="center"/>
            </w:pPr>
            <w:r>
              <w:rPr>
                <w:rFonts w:ascii="Arial" w:cs="Arial" w:eastAsia="Arial" w:hAnsi="Arial"/>
                <w:b/>
                <w:bCs/>
                <w:color w:val="FFFFFF"/>
                <w:sz w:val="72"/>
                <w:szCs w:val="72"/>
              </w:rPr>
              <w:t xml:space="preserve">💰 CashCrew</w:t>
            </w:r>
          </w:p>
          <w:p>
            <w:pPr>
              <w:spacing w:before="0" w:after="20"/>
              <w:jc w:val="center"/>
            </w:pPr>
            <w:r>
              <w:rPr>
                <w:rFonts w:ascii="Arial" w:cs="Arial" w:eastAsia="Arial" w:hAnsi="Arial"/>
                <w:i/>
                <w:iCs/>
                <w:color w:val="BFDBFE"/>
                <w:sz w:val="30"/>
                <w:szCs w:val="30"/>
              </w:rPr>
              <w:t xml:space="preserve">Explainable Multi-Agent Financial Intelligence System</w:t>
            </w:r>
          </w:p>
          <w:p>
            <w:pPr>
              <w:spacing w:before="40" w:after="40"/>
              <w:jc w:val="center"/>
            </w:pPr>
            <w:r>
              <w:rPr>
                <w:rFonts w:ascii="Arial" w:cs="Arial" w:eastAsia="Arial" w:hAnsi="Arial"/>
                <w:color w:val="3B82F6"/>
                <w:sz w:val="22"/>
                <w:szCs w:val="22"/>
              </w:rPr>
              <w:t xml:space="preserve">────────────────────────────────</w:t>
            </w:r>
          </w:p>
          <w:p>
            <w:pPr>
              <w:spacing w:before="20" w:after="20"/>
              <w:jc w:val="center"/>
            </w:pPr>
            <w:r>
              <w:rPr>
                <w:rFonts w:ascii="Arial" w:cs="Arial" w:eastAsia="Arial" w:hAnsi="Arial"/>
                <w:b/>
                <w:bCs/>
                <w:color w:val="FFFFFF"/>
                <w:sz w:val="28"/>
                <w:szCs w:val="28"/>
              </w:rPr>
              <w:t xml:space="preserve">Complete Technical Specification &amp; Build Guide</w:t>
            </w:r>
          </w:p>
          <w:p>
            <w:pPr>
              <w:spacing w:before="20" w:after="40"/>
              <w:jc w:val="center"/>
            </w:pPr>
            <w:r>
              <w:rPr>
                <w:rFonts w:ascii="Arial" w:cs="Arial" w:eastAsia="Arial" w:hAnsi="Arial"/>
                <w:color w:val="93C5FD"/>
                <w:sz w:val="20"/>
                <w:szCs w:val="20"/>
              </w:rPr>
              <w:t xml:space="preserve">Version 1.0  |  Architecture · Agent Design · Data Pipelines · API Contracts · XAI Logic</w:t>
            </w:r>
          </w:p>
        </w:tc>
      </w:tr>
    </w:tbl>
    <w:p>
      <w:pPr>
        <w:spacing w:before="400" w:after="80"/>
      </w:pPr>
    </w:p>
    <w:p>
      <w:pPr>
        <w:pStyle w:val="Heading1"/>
        <w:pBdr>
          <w:bottom w:val="single" w:color="2563EB" w:sz="4"/>
        </w:pBdr>
        <w:spacing w:before="400" w:after="200"/>
      </w:pPr>
      <w:r>
        <w:rPr>
          <w:rFonts w:ascii="Arial" w:cs="Arial" w:eastAsia="Arial" w:hAnsi="Arial"/>
          <w:b/>
          <w:bCs/>
          <w:color w:val="1E3A5F"/>
          <w:sz w:val="36"/>
          <w:szCs w:val="36"/>
        </w:rPr>
        <w:t xml:space="preserve">1. Executive Summary &amp; System Overview</w:t>
      </w:r>
    </w:p>
    <w:p>
      <w:pPr>
        <w:spacing w:before="80" w:after="100"/>
      </w:pPr>
      <w:r>
        <w:rPr>
          <w:rFonts w:ascii="Arial" w:cs="Arial" w:eastAsia="Arial" w:hAnsi="Arial"/>
          <w:color w:val="1E293B"/>
          <w:sz w:val="22"/>
          <w:szCs w:val="22"/>
        </w:rPr>
        <w:t xml:space="preserve">CashCrew is a production-grade, multi-agent financial intelligence platform that orchestrates 9 specialist AI agents to generate explainable BUY / HOLD / SELL recommendations for any publicly traded equity (NSE, BSE, NYSE, NASDAQ). Each agent is independently responsible for a specific analytical domain. An orchestrator agent synthesizes all signals using a confidence-weighted scoring model with risk-priority overrides.</w:t>
      </w:r>
    </w:p>
    <w:p>
      <w:pPr>
        <w:spacing w:before="120" w:after="80"/>
      </w:pPr>
      <w:r>
        <w:rPr>
          <w:rFonts w:ascii="Arial" w:cs="Arial" w:eastAsia="Arial" w:hAnsi="Arial"/>
          <w:b/>
          <w:bCs/>
          <w:color w:val="1E3A5F"/>
          <w:sz w:val="24"/>
          <w:szCs w:val="24"/>
        </w:rPr>
        <w:t xml:space="preserve">Core Design Principles</w:t>
      </w:r>
    </w:p>
    <w:p>
      <w:pPr>
        <w:pStyle w:val="ListParagraph"/>
        <w:numPr>
          <w:ilvl w:val="0"/>
          <w:numId w:val="2"/>
        </w:numPr>
        <w:spacing w:before="60" w:after="60"/>
      </w:pPr>
      <w:r>
        <w:rPr>
          <w:rFonts w:ascii="Arial" w:cs="Arial" w:eastAsia="Arial" w:hAnsi="Arial"/>
          <w:color w:val="1E293B"/>
          <w:sz w:val="22"/>
          <w:szCs w:val="22"/>
        </w:rPr>
        <w:t xml:space="preserve">Multi-agent reasoning: Each agent is a self-contained specialist with its own data sources, algorithms, and output schema.</w:t>
      </w:r>
    </w:p>
    <w:p>
      <w:pPr>
        <w:pStyle w:val="ListParagraph"/>
        <w:numPr>
          <w:ilvl w:val="0"/>
          <w:numId w:val="2"/>
        </w:numPr>
        <w:spacing w:before="60" w:after="60"/>
      </w:pPr>
      <w:r>
        <w:rPr>
          <w:rFonts w:ascii="Arial" w:cs="Arial" w:eastAsia="Arial" w:hAnsi="Arial"/>
          <w:color w:val="1E293B"/>
          <w:sz w:val="22"/>
          <w:szCs w:val="22"/>
        </w:rPr>
        <w:t xml:space="preserve">Explainability (XAI): Every factor contributing to the final score must be traceable with a cause → effect → impact chain.</w:t>
      </w:r>
    </w:p>
    <w:p>
      <w:pPr>
        <w:pStyle w:val="ListParagraph"/>
        <w:numPr>
          <w:ilvl w:val="0"/>
          <w:numId w:val="2"/>
        </w:numPr>
        <w:spacing w:before="60" w:after="60"/>
      </w:pPr>
      <w:r>
        <w:rPr>
          <w:rFonts w:ascii="Arial" w:cs="Arial" w:eastAsia="Arial" w:hAnsi="Arial"/>
          <w:color w:val="1E293B"/>
          <w:sz w:val="22"/>
          <w:szCs w:val="22"/>
        </w:rPr>
        <w:t xml:space="preserve">No hallucination policy: If a data source is unavailable, the agent must flag it explicitly rather than approximate.</w:t>
      </w:r>
    </w:p>
    <w:p>
      <w:pPr>
        <w:pStyle w:val="ListParagraph"/>
        <w:numPr>
          <w:ilvl w:val="0"/>
          <w:numId w:val="2"/>
        </w:numPr>
        <w:spacing w:before="60" w:after="60"/>
      </w:pPr>
      <w:r>
        <w:rPr>
          <w:rFonts w:ascii="Arial" w:cs="Arial" w:eastAsia="Arial" w:hAnsi="Arial"/>
          <w:color w:val="1E293B"/>
          <w:sz w:val="22"/>
          <w:szCs w:val="22"/>
        </w:rPr>
        <w:t xml:space="preserve">Confidence scoring: All agents return a confidence value (0.0–1.0) that feeds into the orchestrator weighting.</w:t>
      </w:r>
    </w:p>
    <w:p>
      <w:pPr>
        <w:pStyle w:val="ListParagraph"/>
        <w:numPr>
          <w:ilvl w:val="0"/>
          <w:numId w:val="2"/>
        </w:numPr>
        <w:spacing w:before="60" w:after="60"/>
      </w:pPr>
      <w:r>
        <w:rPr>
          <w:rFonts w:ascii="Arial" w:cs="Arial" w:eastAsia="Arial" w:hAnsi="Arial"/>
          <w:color w:val="1E293B"/>
          <w:sz w:val="22"/>
          <w:szCs w:val="22"/>
        </w:rPr>
        <w:t xml:space="preserve">Dashboard-ready output: Final output must be structured for UI rendering (charts, radar, gauge, timeline).</w:t>
      </w:r>
    </w:p>
    <w:p>
      <w:pPr>
        <w:pBdr>
          <w:bottom w:val="single" w:color="E2E8F0" w:sz="2"/>
        </w:pBdr>
        <w:spacing w:before="200" w:after="200"/>
      </w:pPr>
    </w:p>
    <w:p>
      <w:pPr>
        <w:pStyle w:val="Heading1"/>
        <w:pBdr>
          <w:bottom w:val="single" w:color="2563EB" w:sz="4"/>
        </w:pBdr>
        <w:spacing w:before="400" w:after="200"/>
      </w:pPr>
      <w:r>
        <w:rPr>
          <w:rFonts w:ascii="Arial" w:cs="Arial" w:eastAsia="Arial" w:hAnsi="Arial"/>
          <w:b/>
          <w:bCs/>
          <w:color w:val="1E3A5F"/>
          <w:sz w:val="36"/>
          <w:szCs w:val="36"/>
        </w:rPr>
        <w:t xml:space="preserve">2. System Architecture</w:t>
      </w:r>
    </w:p>
    <w:p>
      <w:pPr>
        <w:pStyle w:val="Heading2"/>
        <w:spacing w:before="320" w:after="160"/>
      </w:pPr>
      <w:r>
        <w:rPr>
          <w:rFonts w:ascii="Arial" w:cs="Arial" w:eastAsia="Arial" w:hAnsi="Arial"/>
          <w:b/>
          <w:bCs/>
          <w:color w:val="2563EB"/>
          <w:sz w:val="28"/>
          <w:szCs w:val="28"/>
        </w:rPr>
        <w:t xml:space="preserve">2.1 High-Level Architecture</w:t>
      </w:r>
    </w:p>
    <w:p>
      <w:pPr>
        <w:spacing w:before="80" w:after="100"/>
      </w:pPr>
      <w:r>
        <w:rPr>
          <w:rFonts w:ascii="Arial" w:cs="Arial" w:eastAsia="Arial" w:hAnsi="Arial"/>
          <w:color w:val="1E293B"/>
          <w:sz w:val="22"/>
          <w:szCs w:val="22"/>
        </w:rPr>
        <w:t xml:space="preserve">CashCrew follows a hub-and-spoke architecture. The Orchestrator is the central hub. All 9 specialist agents are the spokes. No agent communicates with another agent directly — all messages flow through the Orchestrator. This prevents cascading errors and ensures the Orchestrator maintains full context.</w:t>
      </w: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80"/>
              <w:right w:type="dxa" w:w="200"/>
            </w:tcMar>
          </w:tcPr>
          <w:p>
            <w:pPr>
              <w:spacing w:before="60" w:after="80"/>
            </w:pPr>
            <w:r>
              <w:rPr>
                <w:rFonts w:ascii="Arial" w:cs="Arial" w:eastAsia="Arial" w:hAnsi="Arial"/>
                <w:b/>
                <w:bCs/>
                <w:color w:val="1E3A5F"/>
                <w:sz w:val="22"/>
                <w:szCs w:val="22"/>
              </w:rPr>
              <w:t xml:space="preserve">Architecture Flow</w:t>
            </w:r>
          </w:p>
          <w:p>
            <w:pPr>
              <w:spacing w:before="40" w:after="40"/>
            </w:pPr>
            <w:r>
              <w:rPr>
                <w:rFonts w:ascii="Arial" w:cs="Arial" w:eastAsia="Arial" w:hAnsi="Arial"/>
                <w:color w:val="1E293B"/>
                <w:sz w:val="20"/>
                <w:szCs w:val="20"/>
              </w:rPr>
              <w:t xml:space="preserve">INPUT → Input Parser → [9 Agents run in parallel] → Orchestrator Aggregator → XAI Engine → Final Report Renderer</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Agents: Macro · Sentiment · Technical · Fundamental · PEAD · Insider · Governance · RAG Filing · Risk</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All agents run concurrently. Orchestrator waits for all agent outputs before scoring.</w:t>
            </w:r>
          </w:p>
        </w:tc>
      </w:tr>
    </w:tbl>
    <w:p>
      <w:pPr>
        <w:spacing w:before="200" w:after="80"/>
      </w:pPr>
    </w:p>
    <w:p>
      <w:pPr>
        <w:pStyle w:val="Heading2"/>
        <w:spacing w:before="320" w:after="160"/>
      </w:pPr>
      <w:r>
        <w:rPr>
          <w:rFonts w:ascii="Arial" w:cs="Arial" w:eastAsia="Arial" w:hAnsi="Arial"/>
          <w:b/>
          <w:bCs/>
          <w:color w:val="2563EB"/>
          <w:sz w:val="28"/>
          <w:szCs w:val="28"/>
        </w:rPr>
        <w:t xml:space="preserve">2.2 Technology Stack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60"/>
        <w:gridCol w:w="21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Layer</w:t>
            </w:r>
          </w:p>
        </w:tc>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Recommended Stack</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c>
          <w:tcPr>
            <w:tcW w:type="dxa" w:w="2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Alternatives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Backend Runtime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Python 3.11+ (FastAPI)</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orchestration, APIs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Node.js + Express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Agent Framework</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LangGraph / CrewAI</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Multi-agent graph execution</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AutoGen, Custom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LLM Provider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OpenAI GPT-4o / Claude 3.5</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NLP reasoning in agents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Gemini, Mistral</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Vector DB (RAG)</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ChromaDB / Pinecone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Filing document retrieval</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Weaviate, Qdrant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Financial Data</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yfinance + Alpha Vantage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Price, fundamentals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Polygon.io, EOD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News / Sentiment</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Finnhub + NewsAPI</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News ingestion</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GDELT, Bloomberg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Task Queue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Celery + Redis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Parallel agent execution</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RQ, Dramatiq</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Database</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PostgreSQL + TimescaleDB</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Historical data storage</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MongoDB, MySQL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Cache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Redis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 output caching</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Memcached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Next.js 14 + Recharts</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Dashboard rendering</w:t>
            </w:r>
          </w:p>
        </w:tc>
        <w:tc>
          <w:tcPr>
            <w:tcW w:type="dxa" w:w="2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React + Chart.js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Deployment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Docker + Kubernetes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Containerised services</w:t>
            </w:r>
          </w:p>
        </w:tc>
        <w:tc>
          <w:tcPr>
            <w:tcW w:type="dxa" w:w="2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Railway, Render</w:t>
            </w:r>
          </w:p>
        </w:tc>
      </w:tr>
    </w:tbl>
    <w:p>
      <w:pPr>
        <w:spacing w:before="200" w:after="80"/>
      </w:pPr>
    </w:p>
    <w:p>
      <w:pPr>
        <w:pStyle w:val="Heading2"/>
        <w:spacing w:before="320" w:after="160"/>
      </w:pPr>
      <w:r>
        <w:rPr>
          <w:rFonts w:ascii="Arial" w:cs="Arial" w:eastAsia="Arial" w:hAnsi="Arial"/>
          <w:b/>
          <w:bCs/>
          <w:color w:val="2563EB"/>
          <w:sz w:val="28"/>
          <w:szCs w:val="28"/>
        </w:rPr>
        <w:t xml:space="preserve">2.3 Universal Agent Output Contract</w:t>
      </w:r>
    </w:p>
    <w:p>
      <w:pPr>
        <w:spacing w:before="80" w:after="100"/>
      </w:pPr>
      <w:r>
        <w:rPr>
          <w:rFonts w:ascii="Arial" w:cs="Arial" w:eastAsia="Arial" w:hAnsi="Arial"/>
          <w:color w:val="1E293B"/>
          <w:sz w:val="22"/>
          <w:szCs w:val="22"/>
        </w:rPr>
        <w:t xml:space="preserve">Every agent MUST return data conforming to this JSON schema. The Orchestrator will reject any agent output that does not match this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Field</w:t>
            </w:r>
          </w:p>
        </w:tc>
        <w:tc>
          <w:tcPr>
            <w:tcW w:type="dxa" w:w="2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45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agent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Unique agent identifier (e.g., 'macro_agent', 'technical_agent')</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signal</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enum</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One of: 'bullish' | 'bearish' | 'neutral'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confidence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0.0 (no confidence) to 1.0 (absolute certainty)</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reason</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1–3 sentence human-readable explanation of the signal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data</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object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Agent-specific structured payload (defined per agent below)</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freshness_hours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int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Age of the most stale data point used (in hours)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coverage_pct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Percentage of expected data points that were actually available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error_flags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array</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List of any data source failures or fallback triggers</w:t>
            </w:r>
          </w:p>
        </w:tc>
      </w:tr>
    </w:tbl>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160"/>
              <w:left w:type="dxa" w:w="240"/>
              <w:bottom w:type="dxa" w:w="160"/>
              <w:right w:type="dxa" w:w="240"/>
            </w:tcMar>
          </w:tcPr>
          <w:p>
            <w:pPr>
              <w:spacing w:before="40" w:after="40"/>
            </w:pPr>
            <w:r>
              <w:rPr>
                <w:rFonts w:ascii="Arial" w:cs="Arial" w:eastAsia="Arial" w:hAnsi="Arial"/>
                <w:b/>
                <w:bCs/>
                <w:color w:val="FFFFFF"/>
                <w:sz w:val="32"/>
                <w:szCs w:val="32"/>
              </w:rPr>
              <w:t xml:space="preserve">🌍  Agent 1: Macro Agent</w:t>
            </w:r>
          </w:p>
          <w:p>
            <w:pPr>
              <w:spacing w:before="20" w:after="40"/>
            </w:pPr>
            <w:r>
              <w:rPr>
                <w:rFonts w:ascii="Arial" w:cs="Arial" w:eastAsia="Arial" w:hAnsi="Arial"/>
                <w:i/>
                <w:iCs/>
                <w:color w:val="BFDBFE"/>
                <w:sz w:val="20"/>
                <w:szCs w:val="20"/>
              </w:rPr>
              <w:t xml:space="preserve">Macroeconomic &amp; Geopolitical Signal Analysis</w:t>
            </w:r>
          </w:p>
        </w:tc>
      </w:tr>
    </w:tbl>
    <w:p>
      <w:pPr>
        <w:spacing w:before="200" w:after="100"/>
      </w:pPr>
    </w:p>
    <w:p>
      <w:pPr>
        <w:pStyle w:val="Heading2"/>
        <w:spacing w:before="320" w:after="160"/>
      </w:pPr>
      <w:r>
        <w:rPr>
          <w:rFonts w:ascii="Arial" w:cs="Arial" w:eastAsia="Arial" w:hAnsi="Arial"/>
          <w:b/>
          <w:bCs/>
          <w:color w:val="2563EB"/>
          <w:sz w:val="28"/>
          <w:szCs w:val="28"/>
        </w:rPr>
        <w:t xml:space="preserve">Purpose</w:t>
      </w:r>
    </w:p>
    <w:p>
      <w:pPr>
        <w:spacing w:before="80" w:after="100"/>
      </w:pPr>
      <w:r>
        <w:rPr>
          <w:rFonts w:ascii="Arial" w:cs="Arial" w:eastAsia="Arial" w:hAnsi="Arial"/>
          <w:color w:val="1E293B"/>
          <w:sz w:val="22"/>
          <w:szCs w:val="22"/>
        </w:rPr>
        <w:t xml:space="preserve">The Macro Agent assesses the global macroeconomic environment and its specific impact on the target ticker's sector. It does not analyse the company directly — it analyses the conditions in which the company operates.</w:t>
      </w:r>
    </w:p>
    <w:p>
      <w:pPr>
        <w:pStyle w:val="Heading2"/>
        <w:spacing w:before="320" w:after="160"/>
      </w:pPr>
      <w:r>
        <w:rPr>
          <w:rFonts w:ascii="Arial" w:cs="Arial" w:eastAsia="Arial" w:hAnsi="Arial"/>
          <w:b/>
          <w:bCs/>
          <w:color w:val="2563EB"/>
          <w:sz w:val="28"/>
          <w:szCs w:val="28"/>
        </w:rPr>
        <w:t xml:space="preserve">Data Sources</w:t>
      </w:r>
    </w:p>
    <w:p>
      <w:pPr>
        <w:pStyle w:val="ListParagraph"/>
        <w:numPr>
          <w:ilvl w:val="0"/>
          <w:numId w:val="2"/>
        </w:numPr>
        <w:spacing w:before="60" w:after="60"/>
      </w:pPr>
      <w:r>
        <w:rPr>
          <w:rFonts w:ascii="Arial" w:cs="Arial" w:eastAsia="Arial" w:hAnsi="Arial"/>
          <w:color w:val="1E293B"/>
          <w:sz w:val="22"/>
          <w:szCs w:val="22"/>
        </w:rPr>
        <w:t xml:space="preserve">Federal Reserve / RBI interest rate decisions — FRED API (api.stlouisfed.org/fred)</w:t>
      </w:r>
    </w:p>
    <w:p>
      <w:pPr>
        <w:pStyle w:val="ListParagraph"/>
        <w:numPr>
          <w:ilvl w:val="0"/>
          <w:numId w:val="2"/>
        </w:numPr>
        <w:spacing w:before="60" w:after="60"/>
      </w:pPr>
      <w:r>
        <w:rPr>
          <w:rFonts w:ascii="Arial" w:cs="Arial" w:eastAsia="Arial" w:hAnsi="Arial"/>
          <w:color w:val="1E293B"/>
          <w:sz w:val="22"/>
          <w:szCs w:val="22"/>
        </w:rPr>
        <w:t xml:space="preserve">CPI / WPI inflation data — BLS API (US) or MOSPI data feeds (India)</w:t>
      </w:r>
    </w:p>
    <w:p>
      <w:pPr>
        <w:pStyle w:val="ListParagraph"/>
        <w:numPr>
          <w:ilvl w:val="0"/>
          <w:numId w:val="2"/>
        </w:numPr>
        <w:spacing w:before="60" w:after="60"/>
      </w:pPr>
      <w:r>
        <w:rPr>
          <w:rFonts w:ascii="Arial" w:cs="Arial" w:eastAsia="Arial" w:hAnsi="Arial"/>
          <w:color w:val="1E293B"/>
          <w:sz w:val="22"/>
          <w:szCs w:val="22"/>
        </w:rPr>
        <w:t xml:space="preserve">Crude oil prices (WTI / Brent) — Alpha Vantage commodity endpoint</w:t>
      </w:r>
    </w:p>
    <w:p>
      <w:pPr>
        <w:pStyle w:val="ListParagraph"/>
        <w:numPr>
          <w:ilvl w:val="0"/>
          <w:numId w:val="2"/>
        </w:numPr>
        <w:spacing w:before="60" w:after="60"/>
      </w:pPr>
      <w:r>
        <w:rPr>
          <w:rFonts w:ascii="Arial" w:cs="Arial" w:eastAsia="Arial" w:hAnsi="Arial"/>
          <w:color w:val="1E293B"/>
          <w:sz w:val="22"/>
          <w:szCs w:val="22"/>
        </w:rPr>
        <w:t xml:space="preserve">Gold prices — Same commodity endpoint or GoldAPI.io</w:t>
      </w:r>
    </w:p>
    <w:p>
      <w:pPr>
        <w:pStyle w:val="ListParagraph"/>
        <w:numPr>
          <w:ilvl w:val="0"/>
          <w:numId w:val="2"/>
        </w:numPr>
        <w:spacing w:before="60" w:after="60"/>
      </w:pPr>
      <w:r>
        <w:rPr>
          <w:rFonts w:ascii="Arial" w:cs="Arial" w:eastAsia="Arial" w:hAnsi="Arial"/>
          <w:color w:val="1E293B"/>
          <w:sz w:val="22"/>
          <w:szCs w:val="22"/>
        </w:rPr>
        <w:t xml:space="preserve">USD/INR, DXY index — ForexAPI or Yahoo Finance (^DXY, USDINR=X)</w:t>
      </w:r>
    </w:p>
    <w:p>
      <w:pPr>
        <w:pStyle w:val="ListParagraph"/>
        <w:numPr>
          <w:ilvl w:val="0"/>
          <w:numId w:val="2"/>
        </w:numPr>
        <w:spacing w:before="60" w:after="60"/>
      </w:pPr>
      <w:r>
        <w:rPr>
          <w:rFonts w:ascii="Arial" w:cs="Arial" w:eastAsia="Arial" w:hAnsi="Arial"/>
          <w:color w:val="1E293B"/>
          <w:sz w:val="22"/>
          <w:szCs w:val="22"/>
        </w:rPr>
        <w:t xml:space="preserve">VIX (fear index) — Yahoo Finance (^VIX for US, India VIX from NSE API)</w:t>
      </w:r>
    </w:p>
    <w:p>
      <w:pPr>
        <w:pStyle w:val="ListParagraph"/>
        <w:numPr>
          <w:ilvl w:val="0"/>
          <w:numId w:val="2"/>
        </w:numPr>
        <w:spacing w:before="60" w:after="60"/>
      </w:pPr>
      <w:r>
        <w:rPr>
          <w:rFonts w:ascii="Arial" w:cs="Arial" w:eastAsia="Arial" w:hAnsi="Arial"/>
          <w:color w:val="1E293B"/>
          <w:sz w:val="22"/>
          <w:szCs w:val="22"/>
        </w:rPr>
        <w:t xml:space="preserve">PMI data (Manufacturing + Services) — ISM for US, HSBC India PMI via data vendors</w:t>
      </w:r>
    </w:p>
    <w:p>
      <w:pPr>
        <w:pStyle w:val="ListParagraph"/>
        <w:numPr>
          <w:ilvl w:val="0"/>
          <w:numId w:val="2"/>
        </w:numPr>
        <w:spacing w:before="60" w:after="60"/>
      </w:pPr>
      <w:r>
        <w:rPr>
          <w:rFonts w:ascii="Arial" w:cs="Arial" w:eastAsia="Arial" w:hAnsi="Arial"/>
          <w:color w:val="1E293B"/>
          <w:sz w:val="22"/>
          <w:szCs w:val="22"/>
        </w:rPr>
        <w:t xml:space="preserve">Geopolitical risk events — GDELT API (gdeltproject.org) or manual classification</w:t>
      </w:r>
    </w:p>
    <w:p>
      <w:pPr>
        <w:pStyle w:val="ListParagraph"/>
        <w:numPr>
          <w:ilvl w:val="0"/>
          <w:numId w:val="2"/>
        </w:numPr>
        <w:spacing w:before="60" w:after="60"/>
      </w:pPr>
      <w:r>
        <w:rPr>
          <w:rFonts w:ascii="Arial" w:cs="Arial" w:eastAsia="Arial" w:hAnsi="Arial"/>
          <w:color w:val="1E293B"/>
          <w:sz w:val="22"/>
          <w:szCs w:val="22"/>
        </w:rPr>
        <w:t xml:space="preserve">10-Year Government Bond Yields — FRED (US: DGS10) or RBI for India</w:t>
      </w:r>
    </w:p>
    <w:p>
      <w:pPr>
        <w:pStyle w:val="Heading2"/>
        <w:spacing w:before="320" w:after="160"/>
      </w:pPr>
      <w:r>
        <w:rPr>
          <w:rFonts w:ascii="Arial" w:cs="Arial" w:eastAsia="Arial" w:hAnsi="Arial"/>
          <w:b/>
          <w:bCs/>
          <w:color w:val="2563EB"/>
          <w:sz w:val="28"/>
          <w:szCs w:val="28"/>
        </w:rPr>
        <w:t xml:space="preserve">Algorithms &amp; Logic</w:t>
      </w:r>
    </w:p>
    <w:p>
      <w:pPr>
        <w:pStyle w:val="Heading3"/>
        <w:spacing w:before="240" w:after="120"/>
      </w:pPr>
      <w:r>
        <w:rPr>
          <w:rFonts w:ascii="Arial" w:cs="Arial" w:eastAsia="Arial" w:hAnsi="Arial"/>
          <w:b/>
          <w:bCs/>
          <w:color w:val="1E3A5F"/>
          <w:sz w:val="24"/>
          <w:szCs w:val="24"/>
        </w:rPr>
        <w:t xml:space="preserve">Step 1: Sector Sensitivity Mapping</w:t>
      </w:r>
    </w:p>
    <w:p>
      <w:pPr>
        <w:spacing w:before="80" w:after="100"/>
      </w:pPr>
      <w:r>
        <w:rPr>
          <w:rFonts w:ascii="Arial" w:cs="Arial" w:eastAsia="Arial" w:hAnsi="Arial"/>
          <w:color w:val="1E293B"/>
          <w:sz w:val="22"/>
          <w:szCs w:val="22"/>
        </w:rPr>
        <w:t xml:space="preserve">Maintain a static lookup table that maps each GICS sector to its sensitivity (high/medium/low) for each macro factor.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Macro Factor</w:t>
            </w:r>
          </w:p>
        </w:tc>
        <w:tc>
          <w:tcPr>
            <w:tcW w:type="dxa" w:w="17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IT Sector</w:t>
            </w:r>
          </w:p>
        </w:tc>
        <w:tc>
          <w:tcPr>
            <w:tcW w:type="dxa" w:w="17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Banking Sector</w:t>
            </w:r>
          </w:p>
        </w:tc>
        <w:tc>
          <w:tcPr>
            <w:tcW w:type="dxa" w:w="17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Energy Sector</w:t>
            </w:r>
          </w:p>
        </w:tc>
        <w:tc>
          <w:tcPr>
            <w:tcW w:type="dxa" w:w="174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FMCG Sector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Rising Interest Rates</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Bearish (high)</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Mixed (med)</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Bearish (med)</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Neutral (low)</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Falling INR/USD</w:t>
            </w:r>
          </w:p>
        </w:tc>
        <w:tc>
          <w:tcPr>
            <w:tcW w:type="dxa" w:w="17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Bullish (high - exports)</w:t>
            </w:r>
          </w:p>
        </w:tc>
        <w:tc>
          <w:tcPr>
            <w:tcW w:type="dxa" w:w="17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Bearish (high)</w:t>
            </w:r>
          </w:p>
        </w:tc>
        <w:tc>
          <w:tcPr>
            <w:tcW w:type="dxa" w:w="17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Bearish (med)</w:t>
            </w:r>
          </w:p>
        </w:tc>
        <w:tc>
          <w:tcPr>
            <w:tcW w:type="dxa" w:w="17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Bearish (low)</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Rising Oil Prices</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Neutral</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Neutral</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Bullish (high)</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Bearish (high)</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 VIX (&gt;25)</w:t>
            </w:r>
          </w:p>
        </w:tc>
        <w:tc>
          <w:tcPr>
            <w:tcW w:type="dxa" w:w="17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Bearish (all)</w:t>
            </w:r>
          </w:p>
        </w:tc>
        <w:tc>
          <w:tcPr>
            <w:tcW w:type="dxa" w:w="17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Bearish (all)</w:t>
            </w:r>
          </w:p>
        </w:tc>
        <w:tc>
          <w:tcPr>
            <w:tcW w:type="dxa" w:w="17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Bearish (all)</w:t>
            </w:r>
          </w:p>
        </w:tc>
        <w:tc>
          <w:tcPr>
            <w:tcW w:type="dxa" w:w="174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Bearish (all)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 CPI Inflation</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Bearish (med)</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Bullish (med)</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Bullish (high)</w:t>
            </w:r>
          </w:p>
        </w:tc>
        <w:tc>
          <w:tcPr>
            <w:tcW w:type="dxa" w:w="17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Bearish (high)</w:t>
            </w:r>
          </w:p>
        </w:tc>
      </w:tr>
    </w:tbl>
    <w:p>
      <w:pPr>
        <w:spacing w:before="160" w:after="80"/>
      </w:pPr>
    </w:p>
    <w:p>
      <w:pPr>
        <w:pStyle w:val="Heading3"/>
        <w:spacing w:before="240" w:after="120"/>
      </w:pPr>
      <w:r>
        <w:rPr>
          <w:rFonts w:ascii="Arial" w:cs="Arial" w:eastAsia="Arial" w:hAnsi="Arial"/>
          <w:b/>
          <w:bCs/>
          <w:color w:val="1E3A5F"/>
          <w:sz w:val="24"/>
          <w:szCs w:val="24"/>
        </w:rPr>
        <w:t xml:space="preserve">Step 2: Signal Scoring Algorithm</w:t>
      </w:r>
    </w:p>
    <w:p>
      <w:pPr>
        <w:spacing w:before="80" w:after="100"/>
      </w:pPr>
      <w:r>
        <w:rPr>
          <w:rFonts w:ascii="Arial" w:cs="Arial" w:eastAsia="Arial" w:hAnsi="Arial"/>
          <w:color w:val="1E293B"/>
          <w:sz w:val="22"/>
          <w:szCs w:val="22"/>
        </w:rPr>
        <w:t xml:space="preserve">Each macro factor contributes a sub-score. All sub-scores are weighted and aggregated into a final macro score (0–100). Weights are configurable in a config file.</w:t>
      </w:r>
    </w:p>
    <w:p>
      <w:pPr>
        <w:pStyle w:val="ListParagraph"/>
        <w:numPr>
          <w:ilvl w:val="0"/>
          <w:numId w:val="2"/>
        </w:numPr>
        <w:spacing w:before="60" w:after="60"/>
      </w:pPr>
      <w:r>
        <w:rPr>
          <w:rFonts w:ascii="Arial" w:cs="Arial" w:eastAsia="Arial" w:hAnsi="Arial"/>
          <w:color w:val="1E293B"/>
          <w:sz w:val="22"/>
          <w:szCs w:val="22"/>
        </w:rPr>
        <w:t xml:space="preserve">Interest rate direction: +15 if rates cutting cycle, -15 if hiking cycle, 0 if stable</w:t>
      </w:r>
    </w:p>
    <w:p>
      <w:pPr>
        <w:pStyle w:val="ListParagraph"/>
        <w:numPr>
          <w:ilvl w:val="0"/>
          <w:numId w:val="2"/>
        </w:numPr>
        <w:spacing w:before="60" w:after="60"/>
      </w:pPr>
      <w:r>
        <w:rPr>
          <w:rFonts w:ascii="Arial" w:cs="Arial" w:eastAsia="Arial" w:hAnsi="Arial"/>
          <w:color w:val="1E293B"/>
          <w:sz w:val="22"/>
          <w:szCs w:val="22"/>
        </w:rPr>
        <w:t xml:space="preserve">Inflation: -10 if CPI &gt; 6% (India) or &gt; 4% (US), 0 if within target range</w:t>
      </w:r>
    </w:p>
    <w:p>
      <w:pPr>
        <w:pStyle w:val="ListParagraph"/>
        <w:numPr>
          <w:ilvl w:val="0"/>
          <w:numId w:val="2"/>
        </w:numPr>
        <w:spacing w:before="60" w:after="60"/>
      </w:pPr>
      <w:r>
        <w:rPr>
          <w:rFonts w:ascii="Arial" w:cs="Arial" w:eastAsia="Arial" w:hAnsi="Arial"/>
          <w:color w:val="1E293B"/>
          <w:sz w:val="22"/>
          <w:szCs w:val="22"/>
        </w:rPr>
        <w:t xml:space="preserve">Currency (for exporter vs importer classification): ±10 depending on net FX exposure</w:t>
      </w:r>
    </w:p>
    <w:p>
      <w:pPr>
        <w:pStyle w:val="ListParagraph"/>
        <w:numPr>
          <w:ilvl w:val="0"/>
          <w:numId w:val="2"/>
        </w:numPr>
        <w:spacing w:before="60" w:after="60"/>
      </w:pPr>
      <w:r>
        <w:rPr>
          <w:rFonts w:ascii="Arial" w:cs="Arial" w:eastAsia="Arial" w:hAnsi="Arial"/>
          <w:color w:val="1E293B"/>
          <w:sz w:val="22"/>
          <w:szCs w:val="22"/>
        </w:rPr>
        <w:t xml:space="preserve">VIX: -20 if VIX &gt; 30 (extreme fear), -10 if 20–30, 0 if &lt; 20</w:t>
      </w:r>
    </w:p>
    <w:p>
      <w:pPr>
        <w:pStyle w:val="ListParagraph"/>
        <w:numPr>
          <w:ilvl w:val="0"/>
          <w:numId w:val="2"/>
        </w:numPr>
        <w:spacing w:before="60" w:after="60"/>
      </w:pPr>
      <w:r>
        <w:rPr>
          <w:rFonts w:ascii="Arial" w:cs="Arial" w:eastAsia="Arial" w:hAnsi="Arial"/>
          <w:color w:val="1E293B"/>
          <w:sz w:val="22"/>
          <w:szCs w:val="22"/>
        </w:rPr>
        <w:t xml:space="preserve">Oil price impact: Apply sector sensitivity multiplier to ±10 base score</w:t>
      </w:r>
    </w:p>
    <w:p>
      <w:pPr>
        <w:pStyle w:val="ListParagraph"/>
        <w:numPr>
          <w:ilvl w:val="0"/>
          <w:numId w:val="2"/>
        </w:numPr>
        <w:spacing w:before="60" w:after="60"/>
      </w:pPr>
      <w:r>
        <w:rPr>
          <w:rFonts w:ascii="Arial" w:cs="Arial" w:eastAsia="Arial" w:hAnsi="Arial"/>
          <w:color w:val="1E293B"/>
          <w:sz w:val="22"/>
          <w:szCs w:val="22"/>
        </w:rPr>
        <w:t xml:space="preserve">Yield curve shape: -15 if inverted (2yr &gt; 10yr), +5 if normal slope</w:t>
      </w:r>
    </w:p>
    <w:p>
      <w:pPr>
        <w:pStyle w:val="ListParagraph"/>
        <w:numPr>
          <w:ilvl w:val="0"/>
          <w:numId w:val="2"/>
        </w:numPr>
        <w:spacing w:before="60" w:after="60"/>
      </w:pPr>
      <w:r>
        <w:rPr>
          <w:rFonts w:ascii="Arial" w:cs="Arial" w:eastAsia="Arial" w:hAnsi="Arial"/>
          <w:color w:val="1E293B"/>
          <w:sz w:val="22"/>
          <w:szCs w:val="22"/>
        </w:rPr>
        <w:t xml:space="preserve">Geopolitical event detected (GDELT risk score &gt; 70): -15 flat penalty</w:t>
      </w:r>
    </w:p>
    <w:p>
      <w:pPr>
        <w:pStyle w:val="Heading3"/>
        <w:spacing w:before="240" w:after="120"/>
      </w:pPr>
      <w:r>
        <w:rPr>
          <w:rFonts w:ascii="Arial" w:cs="Arial" w:eastAsia="Arial" w:hAnsi="Arial"/>
          <w:b/>
          <w:bCs/>
          <w:color w:val="1E3A5F"/>
          <w:sz w:val="24"/>
          <w:szCs w:val="24"/>
        </w:rPr>
        <w:t xml:space="preserve">Step 3: Confidence Computation</w:t>
      </w:r>
    </w:p>
    <w:p>
      <w:pPr>
        <w:spacing w:before="80" w:after="100"/>
      </w:pPr>
      <w:r>
        <w:rPr>
          <w:rFonts w:ascii="Arial" w:cs="Arial" w:eastAsia="Arial" w:hAnsi="Arial"/>
          <w:color w:val="1E293B"/>
          <w:sz w:val="22"/>
          <w:szCs w:val="22"/>
        </w:rPr>
        <w:t xml:space="preserve">Confidence = (number of data points successfully fetched) / (total expected data points). If &lt; 50% data available, agent must return confidence &lt; 0.4 and flag it.</w:t>
      </w:r>
    </w:p>
    <w:p>
      <w:pPr>
        <w:pStyle w:val="Heading2"/>
        <w:spacing w:before="320" w:after="160"/>
      </w:pPr>
      <w:r>
        <w:rPr>
          <w:rFonts w:ascii="Arial" w:cs="Arial" w:eastAsia="Arial" w:hAnsi="Arial"/>
          <w:b/>
          <w:bCs/>
          <w:color w:val="2563EB"/>
          <w:sz w:val="28"/>
          <w:szCs w:val="28"/>
        </w:rPr>
        <w:t xml:space="preserve">Output Schema — data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Field</w:t>
            </w:r>
          </w:p>
        </w:tc>
        <w:tc>
          <w:tcPr>
            <w:tcW w:type="dxa" w:w="2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45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macro_score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 (0–100)</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Composite macro environment score for this sector</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interest_rate_signal</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'hiking' | 'cutting' | 'stable' with current rate value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inflation_level</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Current CPI/WPI value and YoY change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vix_level</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Current VIX value and 30-day average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oil_price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WTI/Brent current price in USD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currency_impact</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'tailwind' | 'headwind' | 'neutral' for target stock</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yield_curve_status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'normal' | 'flat' | 'inverted'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geopolitical_risk_score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int (0–100)</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Aggregated geopolitical risk from GDELT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sector_sensitivity_map</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object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Factor-by-factor impact for the detected sector</w:t>
            </w:r>
          </w:p>
        </w:tc>
      </w:tr>
    </w:tbl>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160"/>
              <w:left w:type="dxa" w:w="240"/>
              <w:bottom w:type="dxa" w:w="160"/>
              <w:right w:type="dxa" w:w="240"/>
            </w:tcMar>
          </w:tcPr>
          <w:p>
            <w:pPr>
              <w:spacing w:before="40" w:after="40"/>
            </w:pPr>
            <w:r>
              <w:rPr>
                <w:rFonts w:ascii="Arial" w:cs="Arial" w:eastAsia="Arial" w:hAnsi="Arial"/>
                <w:b/>
                <w:bCs/>
                <w:color w:val="FFFFFF"/>
                <w:sz w:val="32"/>
                <w:szCs w:val="32"/>
              </w:rPr>
              <w:t xml:space="preserve">📰  Agent 2: Sentiment Agent</w:t>
            </w:r>
          </w:p>
          <w:p>
            <w:pPr>
              <w:spacing w:before="20" w:after="40"/>
            </w:pPr>
            <w:r>
              <w:rPr>
                <w:rFonts w:ascii="Arial" w:cs="Arial" w:eastAsia="Arial" w:hAnsi="Arial"/>
                <w:i/>
                <w:iCs/>
                <w:color w:val="BFDBFE"/>
                <w:sz w:val="20"/>
                <w:szCs w:val="20"/>
              </w:rPr>
              <w:t xml:space="preserve">News, Social Media &amp; Narrative Intelligence</w:t>
            </w:r>
          </w:p>
        </w:tc>
      </w:tr>
    </w:tbl>
    <w:p>
      <w:pPr>
        <w:spacing w:before="200" w:after="100"/>
      </w:pPr>
    </w:p>
    <w:p>
      <w:pPr>
        <w:pStyle w:val="Heading2"/>
        <w:spacing w:before="320" w:after="160"/>
      </w:pPr>
      <w:r>
        <w:rPr>
          <w:rFonts w:ascii="Arial" w:cs="Arial" w:eastAsia="Arial" w:hAnsi="Arial"/>
          <w:b/>
          <w:bCs/>
          <w:color w:val="2563EB"/>
          <w:sz w:val="28"/>
          <w:szCs w:val="28"/>
        </w:rPr>
        <w:t xml:space="preserve">Purpose</w:t>
      </w:r>
    </w:p>
    <w:p>
      <w:pPr>
        <w:spacing w:before="80" w:after="100"/>
      </w:pPr>
      <w:r>
        <w:rPr>
          <w:rFonts w:ascii="Arial" w:cs="Arial" w:eastAsia="Arial" w:hAnsi="Arial"/>
          <w:color w:val="1E293B"/>
          <w:sz w:val="22"/>
          <w:szCs w:val="22"/>
        </w:rPr>
        <w:t xml:space="preserve">The Sentiment Agent quantifies market narrative and crowd psychology. It aggregates sentiment from financial news, social media, and analyst commentary, then identifies dominant themes that may act as catalysts for price movement.</w:t>
      </w:r>
    </w:p>
    <w:p>
      <w:pPr>
        <w:pStyle w:val="Heading2"/>
        <w:spacing w:before="320" w:after="160"/>
      </w:pPr>
      <w:r>
        <w:rPr>
          <w:rFonts w:ascii="Arial" w:cs="Arial" w:eastAsia="Arial" w:hAnsi="Arial"/>
          <w:b/>
          <w:bCs/>
          <w:color w:val="2563EB"/>
          <w:sz w:val="28"/>
          <w:szCs w:val="28"/>
        </w:rPr>
        <w:t xml:space="preserve">Data Sources</w:t>
      </w:r>
    </w:p>
    <w:p>
      <w:pPr>
        <w:pStyle w:val="ListParagraph"/>
        <w:numPr>
          <w:ilvl w:val="0"/>
          <w:numId w:val="2"/>
        </w:numPr>
        <w:spacing w:before="60" w:after="60"/>
      </w:pPr>
      <w:r>
        <w:rPr>
          <w:rFonts w:ascii="Arial" w:cs="Arial" w:eastAsia="Arial" w:hAnsi="Arial"/>
          <w:color w:val="1E293B"/>
          <w:sz w:val="22"/>
          <w:szCs w:val="22"/>
        </w:rPr>
        <w:t xml:space="preserve">Finnhub News API — Company-specific news with source credibility weighting</w:t>
      </w:r>
    </w:p>
    <w:p>
      <w:pPr>
        <w:pStyle w:val="ListParagraph"/>
        <w:numPr>
          <w:ilvl w:val="0"/>
          <w:numId w:val="2"/>
        </w:numPr>
        <w:spacing w:before="60" w:after="60"/>
      </w:pPr>
      <w:r>
        <w:rPr>
          <w:rFonts w:ascii="Arial" w:cs="Arial" w:eastAsia="Arial" w:hAnsi="Arial"/>
          <w:color w:val="1E293B"/>
          <w:sz w:val="22"/>
          <w:szCs w:val="22"/>
        </w:rPr>
        <w:t xml:space="preserve">NewsAPI.org — Broad financial news search by ticker + company name</w:t>
      </w:r>
    </w:p>
    <w:p>
      <w:pPr>
        <w:pStyle w:val="ListParagraph"/>
        <w:numPr>
          <w:ilvl w:val="0"/>
          <w:numId w:val="2"/>
        </w:numPr>
        <w:spacing w:before="60" w:after="60"/>
      </w:pPr>
      <w:r>
        <w:rPr>
          <w:rFonts w:ascii="Arial" w:cs="Arial" w:eastAsia="Arial" w:hAnsi="Arial"/>
          <w:color w:val="1E293B"/>
          <w:sz w:val="22"/>
          <w:szCs w:val="22"/>
        </w:rPr>
        <w:t xml:space="preserve">Reddit (PRAW library) — r/investing, r/IndiaInvestments, r/stocks, r/wallstreetbets</w:t>
      </w:r>
    </w:p>
    <w:p>
      <w:pPr>
        <w:pStyle w:val="ListParagraph"/>
        <w:numPr>
          <w:ilvl w:val="0"/>
          <w:numId w:val="2"/>
        </w:numPr>
        <w:spacing w:before="60" w:after="60"/>
      </w:pPr>
      <w:r>
        <w:rPr>
          <w:rFonts w:ascii="Arial" w:cs="Arial" w:eastAsia="Arial" w:hAnsi="Arial"/>
          <w:color w:val="1E293B"/>
          <w:sz w:val="22"/>
          <w:szCs w:val="22"/>
        </w:rPr>
        <w:t xml:space="preserve">Stocktwits API — Real-time trader sentiment (bearish/bullish tag ratio)</w:t>
      </w:r>
    </w:p>
    <w:p>
      <w:pPr>
        <w:pStyle w:val="ListParagraph"/>
        <w:numPr>
          <w:ilvl w:val="0"/>
          <w:numId w:val="2"/>
        </w:numPr>
        <w:spacing w:before="60" w:after="60"/>
      </w:pPr>
      <w:r>
        <w:rPr>
          <w:rFonts w:ascii="Arial" w:cs="Arial" w:eastAsia="Arial" w:hAnsi="Arial"/>
          <w:color w:val="1E293B"/>
          <w:sz w:val="22"/>
          <w:szCs w:val="22"/>
        </w:rPr>
        <w:t xml:space="preserve">Twitter/X API v2 (optional) — Cashtag mentions with engagement weighting</w:t>
      </w:r>
    </w:p>
    <w:p>
      <w:pPr>
        <w:pStyle w:val="ListParagraph"/>
        <w:numPr>
          <w:ilvl w:val="0"/>
          <w:numId w:val="2"/>
        </w:numPr>
        <w:spacing w:before="60" w:after="60"/>
      </w:pPr>
      <w:r>
        <w:rPr>
          <w:rFonts w:ascii="Arial" w:cs="Arial" w:eastAsia="Arial" w:hAnsi="Arial"/>
          <w:color w:val="1E293B"/>
          <w:sz w:val="22"/>
          <w:szCs w:val="22"/>
        </w:rPr>
        <w:t xml:space="preserve">Google Trends (pytrends) — Search interest spike detection for the ticker</w:t>
      </w:r>
    </w:p>
    <w:p>
      <w:pPr>
        <w:pStyle w:val="ListParagraph"/>
        <w:numPr>
          <w:ilvl w:val="0"/>
          <w:numId w:val="2"/>
        </w:numPr>
        <w:spacing w:before="60" w:after="60"/>
      </w:pPr>
      <w:r>
        <w:rPr>
          <w:rFonts w:ascii="Arial" w:cs="Arial" w:eastAsia="Arial" w:hAnsi="Arial"/>
          <w:color w:val="1E293B"/>
          <w:sz w:val="22"/>
          <w:szCs w:val="22"/>
        </w:rPr>
        <w:t xml:space="preserve">Analyst consensus — Yahoo Finance or FMP API for consensus rating changes</w:t>
      </w:r>
    </w:p>
    <w:p>
      <w:pPr>
        <w:pStyle w:val="Heading2"/>
        <w:spacing w:before="320" w:after="160"/>
      </w:pPr>
      <w:r>
        <w:rPr>
          <w:rFonts w:ascii="Arial" w:cs="Arial" w:eastAsia="Arial" w:hAnsi="Arial"/>
          <w:b/>
          <w:bCs/>
          <w:color w:val="2563EB"/>
          <w:sz w:val="28"/>
          <w:szCs w:val="28"/>
        </w:rPr>
        <w:t xml:space="preserve">Algorithms &amp; Logic</w:t>
      </w:r>
    </w:p>
    <w:p>
      <w:pPr>
        <w:pStyle w:val="Heading3"/>
        <w:spacing w:before="240" w:after="120"/>
      </w:pPr>
      <w:r>
        <w:rPr>
          <w:rFonts w:ascii="Arial" w:cs="Arial" w:eastAsia="Arial" w:hAnsi="Arial"/>
          <w:b/>
          <w:bCs/>
          <w:color w:val="1E3A5F"/>
          <w:sz w:val="24"/>
          <w:szCs w:val="24"/>
        </w:rPr>
        <w:t xml:space="preserve">Step 1: Article Collection &amp; Deduplication</w:t>
      </w:r>
    </w:p>
    <w:p>
      <w:pPr>
        <w:spacing w:before="80" w:after="100"/>
      </w:pPr>
      <w:r>
        <w:rPr>
          <w:rFonts w:ascii="Arial" w:cs="Arial" w:eastAsia="Arial" w:hAnsi="Arial"/>
          <w:color w:val="1E293B"/>
          <w:sz w:val="22"/>
          <w:szCs w:val="22"/>
        </w:rPr>
        <w:t xml:space="preserve">Fetch up to 50 articles per ticker within a rolling 7-day window. Deduplicate by cosine similarity of headlines (threshold &gt; 0.85 = duplicate). Assign each article a source tier: Tier 1 = Reuters/Bloomberg/ET/Mint (weight: 1.5x), Tier 2 = NDTV/LiveMint/MoneyControl (weight: 1.0x), Tier 3 = blogs/forums (weight: 0.5x).</w:t>
      </w:r>
    </w:p>
    <w:p>
      <w:pPr>
        <w:pStyle w:val="Heading3"/>
        <w:spacing w:before="240" w:after="120"/>
      </w:pPr>
      <w:r>
        <w:rPr>
          <w:rFonts w:ascii="Arial" w:cs="Arial" w:eastAsia="Arial" w:hAnsi="Arial"/>
          <w:b/>
          <w:bCs/>
          <w:color w:val="1E3A5F"/>
          <w:sz w:val="24"/>
          <w:szCs w:val="24"/>
        </w:rPr>
        <w:t xml:space="preserve">Step 2: NLP Sentiment Scoring</w:t>
      </w:r>
    </w:p>
    <w:p>
      <w:pPr>
        <w:spacing w:before="80" w:after="100"/>
      </w:pPr>
      <w:r>
        <w:rPr>
          <w:rFonts w:ascii="Arial" w:cs="Arial" w:eastAsia="Arial" w:hAnsi="Arial"/>
          <w:color w:val="1E293B"/>
          <w:sz w:val="22"/>
          <w:szCs w:val="22"/>
        </w:rPr>
        <w:t xml:space="preserve">Primary: Use FinBERT (ProsusAI/finbert on HuggingFace) — a BERT model fine-tuned on financial text. This outperforms VADER significantly for financial domain text.</w:t>
      </w:r>
    </w:p>
    <w:p>
      <w:pPr>
        <w:pStyle w:val="ListParagraph"/>
        <w:numPr>
          <w:ilvl w:val="0"/>
          <w:numId w:val="2"/>
        </w:numPr>
        <w:spacing w:before="60" w:after="60"/>
      </w:pPr>
      <w:r>
        <w:rPr>
          <w:rFonts w:ascii="Arial" w:cs="Arial" w:eastAsia="Arial" w:hAnsi="Arial"/>
          <w:color w:val="1E293B"/>
          <w:sz w:val="22"/>
          <w:szCs w:val="22"/>
        </w:rPr>
        <w:t xml:space="preserve">Input: cleaned article headline + first 512 tokens of body</w:t>
      </w:r>
    </w:p>
    <w:p>
      <w:pPr>
        <w:pStyle w:val="ListParagraph"/>
        <w:numPr>
          <w:ilvl w:val="0"/>
          <w:numId w:val="2"/>
        </w:numPr>
        <w:spacing w:before="60" w:after="60"/>
      </w:pPr>
      <w:r>
        <w:rPr>
          <w:rFonts w:ascii="Arial" w:cs="Arial" w:eastAsia="Arial" w:hAnsi="Arial"/>
          <w:color w:val="1E293B"/>
          <w:sz w:val="22"/>
          <w:szCs w:val="22"/>
        </w:rPr>
        <w:t xml:space="preserve">Output: {positive: float, negative: float, neutral: float}</w:t>
      </w:r>
    </w:p>
    <w:p>
      <w:pPr>
        <w:pStyle w:val="ListParagraph"/>
        <w:numPr>
          <w:ilvl w:val="0"/>
          <w:numId w:val="2"/>
        </w:numPr>
        <w:spacing w:before="60" w:after="60"/>
      </w:pPr>
      <w:r>
        <w:rPr>
          <w:rFonts w:ascii="Arial" w:cs="Arial" w:eastAsia="Arial" w:hAnsi="Arial"/>
          <w:color w:val="1E293B"/>
          <w:sz w:val="22"/>
          <w:szCs w:val="22"/>
        </w:rPr>
        <w:t xml:space="preserve">Sentiment score per article = positive − negative (range: −1.0 to +1.0)</w:t>
      </w:r>
    </w:p>
    <w:p>
      <w:pPr>
        <w:pStyle w:val="ListParagraph"/>
        <w:numPr>
          <w:ilvl w:val="0"/>
          <w:numId w:val="2"/>
        </w:numPr>
        <w:spacing w:before="60" w:after="60"/>
      </w:pPr>
      <w:r>
        <w:rPr>
          <w:rFonts w:ascii="Arial" w:cs="Arial" w:eastAsia="Arial" w:hAnsi="Arial"/>
          <w:color w:val="1E293B"/>
          <w:sz w:val="22"/>
          <w:szCs w:val="22"/>
        </w:rPr>
        <w:t xml:space="preserve">Weighted aggregate: sum(score × source_weight × recency_decay) / sum(weights)</w:t>
      </w:r>
    </w:p>
    <w:p>
      <w:pPr>
        <w:pStyle w:val="ListParagraph"/>
        <w:numPr>
          <w:ilvl w:val="0"/>
          <w:numId w:val="2"/>
        </w:numPr>
        <w:spacing w:before="60" w:after="60"/>
      </w:pPr>
      <w:r>
        <w:rPr>
          <w:rFonts w:ascii="Arial" w:cs="Arial" w:eastAsia="Arial" w:hAnsi="Arial"/>
          <w:color w:val="1E293B"/>
          <w:sz w:val="22"/>
          <w:szCs w:val="22"/>
        </w:rPr>
        <w:t xml:space="preserve">Recency decay: articles older than 48h get a 0.7x multiplier; older than 72h get 0.4x</w:t>
      </w:r>
    </w:p>
    <w:p>
      <w:pPr>
        <w:pStyle w:val="Heading3"/>
        <w:spacing w:before="240" w:after="120"/>
      </w:pPr>
      <w:r>
        <w:rPr>
          <w:rFonts w:ascii="Arial" w:cs="Arial" w:eastAsia="Arial" w:hAnsi="Arial"/>
          <w:b/>
          <w:bCs/>
          <w:color w:val="1E3A5F"/>
          <w:sz w:val="24"/>
          <w:szCs w:val="24"/>
        </w:rPr>
        <w:t xml:space="preserve">Step 3: Theme Extraction</w:t>
      </w:r>
    </w:p>
    <w:p>
      <w:pPr>
        <w:spacing w:before="80" w:after="100"/>
      </w:pPr>
      <w:r>
        <w:rPr>
          <w:rFonts w:ascii="Arial" w:cs="Arial" w:eastAsia="Arial" w:hAnsi="Arial"/>
          <w:color w:val="1E293B"/>
          <w:sz w:val="22"/>
          <w:szCs w:val="22"/>
        </w:rPr>
        <w:t xml:space="preserve">Run named entity recognition (NER) + keyword clustering on article bodies to extract dominant narratives. Example themes: 'contract win', 'management change', 'regulatory probe', 'earnings beat', 'dividend cut'. Tag each theme as positive/negative/neutral and report the top 3 themes.</w:t>
      </w:r>
    </w:p>
    <w:p>
      <w:pPr>
        <w:pStyle w:val="Heading3"/>
        <w:spacing w:before="240" w:after="120"/>
      </w:pPr>
      <w:r>
        <w:rPr>
          <w:rFonts w:ascii="Arial" w:cs="Arial" w:eastAsia="Arial" w:hAnsi="Arial"/>
          <w:b/>
          <w:bCs/>
          <w:color w:val="1E3A5F"/>
          <w:sz w:val="24"/>
          <w:szCs w:val="24"/>
        </w:rPr>
        <w:t xml:space="preserve">Step 4: Social Sentiment Ratio</w:t>
      </w:r>
    </w:p>
    <w:p>
      <w:pPr>
        <w:spacing w:before="80" w:after="100"/>
      </w:pPr>
      <w:r>
        <w:rPr>
          <w:rFonts w:ascii="Arial" w:cs="Arial" w:eastAsia="Arial" w:hAnsi="Arial"/>
          <w:color w:val="1E293B"/>
          <w:sz w:val="22"/>
          <w:szCs w:val="22"/>
        </w:rPr>
        <w:t xml:space="preserve">For Stocktwits: fetch last 200 messages for the ticker. Compute bull_ratio = bullish_tags / (bullish_tags + bearish_tags). For Reddit: apply FinBERT to top 50 upvoted comments from the last 48 hours, compute average sentiment.</w:t>
      </w:r>
    </w:p>
    <w:p>
      <w:pPr>
        <w:pStyle w:val="Heading3"/>
        <w:spacing w:before="240" w:after="120"/>
      </w:pPr>
      <w:r>
        <w:rPr>
          <w:rFonts w:ascii="Arial" w:cs="Arial" w:eastAsia="Arial" w:hAnsi="Arial"/>
          <w:b/>
          <w:bCs/>
          <w:color w:val="1E3A5F"/>
          <w:sz w:val="24"/>
          <w:szCs w:val="24"/>
        </w:rPr>
        <w:t xml:space="preserve">Step 5: Signal Classification</w:t>
      </w:r>
    </w:p>
    <w:p>
      <w:pPr>
        <w:spacing w:before="80" w:after="100"/>
      </w:pPr>
      <w:r>
        <w:rPr>
          <w:rFonts w:ascii="Arial" w:cs="Arial" w:eastAsia="Arial" w:hAnsi="Arial"/>
          <w:color w:val="1E293B"/>
          <w:sz w:val="22"/>
          <w:szCs w:val="22"/>
        </w:rPr>
        <w:t xml:space="preserve">Sentiment score &gt; +0.3 AND bull_ratio &gt; 0.6 → bullish. Score &lt; −0.3 AND bull_ratio &lt; 0.4 → bearish. Otherwise → neutral.</w:t>
      </w:r>
    </w:p>
    <w:p>
      <w:pPr>
        <w:pStyle w:val="Heading2"/>
        <w:spacing w:before="320" w:after="160"/>
      </w:pPr>
      <w:r>
        <w:rPr>
          <w:rFonts w:ascii="Arial" w:cs="Arial" w:eastAsia="Arial" w:hAnsi="Arial"/>
          <w:b/>
          <w:bCs/>
          <w:color w:val="2563EB"/>
          <w:sz w:val="28"/>
          <w:szCs w:val="28"/>
        </w:rPr>
        <w:t xml:space="preserve">Output Schema — data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Field</w:t>
            </w:r>
          </w:p>
        </w:tc>
        <w:tc>
          <w:tcPr>
            <w:tcW w:type="dxa" w:w="2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45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sentiment_score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 (-1 to 1)</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Weighted aggregate news sentiment score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bull_ratio</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 (0–1)</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Stocktwits/social bullish vs bearish message ratio</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article_count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Total articles analysed in the time window</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top_themes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array[3]</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Top 3 dominant narrative themes with positive/negative tag</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analyst_consensus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'strong buy' | 'buy' | 'hold' | 'sell' | 'strong sell'</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google_trend_spike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bool</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True if search interest &gt; 2x 30-day average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sentiment_velocity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Rate of sentiment change (today vs 3-day average)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negative_flag_detected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bool</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True if fraud/probe/default keywords detected</w:t>
            </w:r>
          </w:p>
        </w:tc>
      </w:tr>
    </w:tbl>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160"/>
              <w:left w:type="dxa" w:w="240"/>
              <w:bottom w:type="dxa" w:w="160"/>
              <w:right w:type="dxa" w:w="240"/>
            </w:tcMar>
          </w:tcPr>
          <w:p>
            <w:pPr>
              <w:spacing w:before="40" w:after="40"/>
            </w:pPr>
            <w:r>
              <w:rPr>
                <w:rFonts w:ascii="Arial" w:cs="Arial" w:eastAsia="Arial" w:hAnsi="Arial"/>
                <w:b/>
                <w:bCs/>
                <w:color w:val="FFFFFF"/>
                <w:sz w:val="32"/>
                <w:szCs w:val="32"/>
              </w:rPr>
              <w:t xml:space="preserve">📊  Agent 3: Technical Agent</w:t>
            </w:r>
          </w:p>
          <w:p>
            <w:pPr>
              <w:spacing w:before="20" w:after="40"/>
            </w:pPr>
            <w:r>
              <w:rPr>
                <w:rFonts w:ascii="Arial" w:cs="Arial" w:eastAsia="Arial" w:hAnsi="Arial"/>
                <w:i/>
                <w:iCs/>
                <w:color w:val="BFDBFE"/>
                <w:sz w:val="20"/>
                <w:szCs w:val="20"/>
              </w:rPr>
              <w:t xml:space="preserve">Chart Pattern, Indicator &amp; Volume Analysis</w:t>
            </w:r>
          </w:p>
        </w:tc>
      </w:tr>
    </w:tbl>
    <w:p>
      <w:pPr>
        <w:spacing w:before="200" w:after="100"/>
      </w:pPr>
    </w:p>
    <w:p>
      <w:pPr>
        <w:pStyle w:val="Heading2"/>
        <w:spacing w:before="320" w:after="160"/>
      </w:pPr>
      <w:r>
        <w:rPr>
          <w:rFonts w:ascii="Arial" w:cs="Arial" w:eastAsia="Arial" w:hAnsi="Arial"/>
          <w:b/>
          <w:bCs/>
          <w:color w:val="2563EB"/>
          <w:sz w:val="28"/>
          <w:szCs w:val="28"/>
        </w:rPr>
        <w:t xml:space="preserve">Purpose</w:t>
      </w:r>
    </w:p>
    <w:p>
      <w:pPr>
        <w:spacing w:before="80" w:after="100"/>
      </w:pPr>
      <w:r>
        <w:rPr>
          <w:rFonts w:ascii="Arial" w:cs="Arial" w:eastAsia="Arial" w:hAnsi="Arial"/>
          <w:color w:val="1E293B"/>
          <w:sz w:val="22"/>
          <w:szCs w:val="22"/>
        </w:rPr>
        <w:t xml:space="preserve">The Technical Agent analyses price action, momentum indicators, trend signals, and volume to identify optimal entry/exit points and the near-term directional bias of the stock. It operates purely on OHLCV (Open/High/Low/Close/Volume) data.</w:t>
      </w:r>
    </w:p>
    <w:p>
      <w:pPr>
        <w:pStyle w:val="Heading2"/>
        <w:spacing w:before="320" w:after="160"/>
      </w:pPr>
      <w:r>
        <w:rPr>
          <w:rFonts w:ascii="Arial" w:cs="Arial" w:eastAsia="Arial" w:hAnsi="Arial"/>
          <w:b/>
          <w:bCs/>
          <w:color w:val="2563EB"/>
          <w:sz w:val="28"/>
          <w:szCs w:val="28"/>
        </w:rPr>
        <w:t xml:space="preserve">Data Sources</w:t>
      </w:r>
    </w:p>
    <w:p>
      <w:pPr>
        <w:pStyle w:val="ListParagraph"/>
        <w:numPr>
          <w:ilvl w:val="0"/>
          <w:numId w:val="2"/>
        </w:numPr>
        <w:spacing w:before="60" w:after="60"/>
      </w:pPr>
      <w:r>
        <w:rPr>
          <w:rFonts w:ascii="Arial" w:cs="Arial" w:eastAsia="Arial" w:hAnsi="Arial"/>
          <w:color w:val="1E293B"/>
          <w:sz w:val="22"/>
          <w:szCs w:val="22"/>
        </w:rPr>
        <w:t xml:space="preserve">Primary: yfinance (Yahoo Finance) — Free, reliable OHLCV data for NSE (.NS suffix) and global equities</w:t>
      </w:r>
    </w:p>
    <w:p>
      <w:pPr>
        <w:pStyle w:val="ListParagraph"/>
        <w:numPr>
          <w:ilvl w:val="0"/>
          <w:numId w:val="2"/>
        </w:numPr>
        <w:spacing w:before="60" w:after="60"/>
      </w:pPr>
      <w:r>
        <w:rPr>
          <w:rFonts w:ascii="Arial" w:cs="Arial" w:eastAsia="Arial" w:hAnsi="Arial"/>
          <w:color w:val="1E293B"/>
          <w:sz w:val="22"/>
          <w:szCs w:val="22"/>
        </w:rPr>
        <w:t xml:space="preserve">Backup: Alpha Vantage TIME_SERIES_DAILY_ADJUSTED endpoint</w:t>
      </w:r>
    </w:p>
    <w:p>
      <w:pPr>
        <w:pStyle w:val="ListParagraph"/>
        <w:numPr>
          <w:ilvl w:val="0"/>
          <w:numId w:val="2"/>
        </w:numPr>
        <w:spacing w:before="60" w:after="60"/>
      </w:pPr>
      <w:r>
        <w:rPr>
          <w:rFonts w:ascii="Arial" w:cs="Arial" w:eastAsia="Arial" w:hAnsi="Arial"/>
          <w:color w:val="1E293B"/>
          <w:sz w:val="22"/>
          <w:szCs w:val="22"/>
        </w:rPr>
        <w:t xml:space="preserve">Volume data: Same OHLCV feed — use adjusted close for all calculations</w:t>
      </w:r>
    </w:p>
    <w:p>
      <w:pPr>
        <w:pStyle w:val="Heading2"/>
        <w:spacing w:before="320" w:after="160"/>
      </w:pPr>
      <w:r>
        <w:rPr>
          <w:rFonts w:ascii="Arial" w:cs="Arial" w:eastAsia="Arial" w:hAnsi="Arial"/>
          <w:b/>
          <w:bCs/>
          <w:color w:val="2563EB"/>
          <w:sz w:val="28"/>
          <w:szCs w:val="28"/>
        </w:rPr>
        <w:t xml:space="preserve">Required Time Frames</w:t>
      </w:r>
    </w:p>
    <w:p>
      <w:pPr>
        <w:pStyle w:val="ListParagraph"/>
        <w:numPr>
          <w:ilvl w:val="0"/>
          <w:numId w:val="2"/>
        </w:numPr>
        <w:spacing w:before="60" w:after="60"/>
      </w:pPr>
      <w:r>
        <w:rPr>
          <w:rFonts w:ascii="Arial" w:cs="Arial" w:eastAsia="Arial" w:hAnsi="Arial"/>
          <w:color w:val="1E293B"/>
          <w:sz w:val="22"/>
          <w:szCs w:val="22"/>
        </w:rPr>
        <w:t xml:space="preserve">Daily bars — 1 year of history minimum (for 200 MA and long-term signals)</w:t>
      </w:r>
    </w:p>
    <w:p>
      <w:pPr>
        <w:pStyle w:val="ListParagraph"/>
        <w:numPr>
          <w:ilvl w:val="0"/>
          <w:numId w:val="2"/>
        </w:numPr>
        <w:spacing w:before="60" w:after="60"/>
      </w:pPr>
      <w:r>
        <w:rPr>
          <w:rFonts w:ascii="Arial" w:cs="Arial" w:eastAsia="Arial" w:hAnsi="Arial"/>
          <w:color w:val="1E293B"/>
          <w:sz w:val="22"/>
          <w:szCs w:val="22"/>
        </w:rPr>
        <w:t xml:space="preserve">Weekly bars — 2 years minimum (for trend confirmation)</w:t>
      </w:r>
    </w:p>
    <w:p>
      <w:pPr>
        <w:pStyle w:val="ListParagraph"/>
        <w:numPr>
          <w:ilvl w:val="0"/>
          <w:numId w:val="2"/>
        </w:numPr>
        <w:spacing w:before="60" w:after="60"/>
      </w:pPr>
      <w:r>
        <w:rPr>
          <w:rFonts w:ascii="Arial" w:cs="Arial" w:eastAsia="Arial" w:hAnsi="Arial"/>
          <w:color w:val="1E293B"/>
          <w:sz w:val="22"/>
          <w:szCs w:val="22"/>
        </w:rPr>
        <w:t xml:space="preserve">Intraday 15-min bars (optional) — last 5 trading days (for entry precision)</w:t>
      </w:r>
    </w:p>
    <w:p>
      <w:pPr>
        <w:pStyle w:val="Heading2"/>
        <w:spacing w:before="320" w:after="160"/>
      </w:pPr>
      <w:r>
        <w:rPr>
          <w:rFonts w:ascii="Arial" w:cs="Arial" w:eastAsia="Arial" w:hAnsi="Arial"/>
          <w:b/>
          <w:bCs/>
          <w:color w:val="2563EB"/>
          <w:sz w:val="28"/>
          <w:szCs w:val="28"/>
        </w:rPr>
        <w:t xml:space="preserve">Indicator Suite &amp; Calculation Specs</w:t>
      </w:r>
    </w:p>
    <w:p>
      <w:pPr>
        <w:pStyle w:val="Heading3"/>
        <w:spacing w:before="240" w:after="120"/>
      </w:pPr>
      <w:r>
        <w:rPr>
          <w:rFonts w:ascii="Arial" w:cs="Arial" w:eastAsia="Arial" w:hAnsi="Arial"/>
          <w:b/>
          <w:bCs/>
          <w:color w:val="1E3A5F"/>
          <w:sz w:val="24"/>
          <w:szCs w:val="24"/>
        </w:rPr>
        <w:t xml:space="preserve">Trend Indicators</w:t>
      </w:r>
    </w:p>
    <w:p>
      <w:pPr>
        <w:pStyle w:val="ListParagraph"/>
        <w:numPr>
          <w:ilvl w:val="0"/>
          <w:numId w:val="2"/>
        </w:numPr>
        <w:spacing w:before="60" w:after="60"/>
      </w:pPr>
      <w:r>
        <w:rPr>
          <w:rFonts w:ascii="Arial" w:cs="Arial" w:eastAsia="Arial" w:hAnsi="Arial"/>
          <w:color w:val="1E293B"/>
          <w:sz w:val="22"/>
          <w:szCs w:val="22"/>
        </w:rPr>
        <w:t xml:space="preserve">SMA 20 / SMA 50 / SMA 200: Simple moving averages on adjusted close</w:t>
      </w:r>
    </w:p>
    <w:p>
      <w:pPr>
        <w:pStyle w:val="ListParagraph"/>
        <w:numPr>
          <w:ilvl w:val="0"/>
          <w:numId w:val="2"/>
        </w:numPr>
        <w:spacing w:before="60" w:after="60"/>
      </w:pPr>
      <w:r>
        <w:rPr>
          <w:rFonts w:ascii="Arial" w:cs="Arial" w:eastAsia="Arial" w:hAnsi="Arial"/>
          <w:color w:val="1E293B"/>
          <w:sz w:val="22"/>
          <w:szCs w:val="22"/>
        </w:rPr>
        <w:t xml:space="preserve">EMA 12 / EMA 26: Exponential moving averages (used for MACD)</w:t>
      </w:r>
    </w:p>
    <w:p>
      <w:pPr>
        <w:pStyle w:val="ListParagraph"/>
        <w:numPr>
          <w:ilvl w:val="0"/>
          <w:numId w:val="2"/>
        </w:numPr>
        <w:spacing w:before="60" w:after="60"/>
      </w:pPr>
      <w:r>
        <w:rPr>
          <w:rFonts w:ascii="Arial" w:cs="Arial" w:eastAsia="Arial" w:hAnsi="Arial"/>
          <w:color w:val="1E293B"/>
          <w:sz w:val="22"/>
          <w:szCs w:val="22"/>
        </w:rPr>
        <w:t xml:space="preserve">Golden Cross / Death Cross: SMA 50 crossing above/below SMA 200</w:t>
      </w:r>
    </w:p>
    <w:p>
      <w:pPr>
        <w:pStyle w:val="ListParagraph"/>
        <w:numPr>
          <w:ilvl w:val="0"/>
          <w:numId w:val="2"/>
        </w:numPr>
        <w:spacing w:before="60" w:after="60"/>
      </w:pPr>
      <w:r>
        <w:rPr>
          <w:rFonts w:ascii="Arial" w:cs="Arial" w:eastAsia="Arial" w:hAnsi="Arial"/>
          <w:color w:val="1E293B"/>
          <w:sz w:val="22"/>
          <w:szCs w:val="22"/>
        </w:rPr>
        <w:t xml:space="preserve">Price vs MA position: 'above_all' | 'above_50_200' | 'below_all' classification</w:t>
      </w:r>
    </w:p>
    <w:p>
      <w:pPr>
        <w:pStyle w:val="Heading3"/>
        <w:spacing w:before="240" w:after="120"/>
      </w:pPr>
      <w:r>
        <w:rPr>
          <w:rFonts w:ascii="Arial" w:cs="Arial" w:eastAsia="Arial" w:hAnsi="Arial"/>
          <w:b/>
          <w:bCs/>
          <w:color w:val="1E3A5F"/>
          <w:sz w:val="24"/>
          <w:szCs w:val="24"/>
        </w:rPr>
        <w:t xml:space="preserve">Momentum Indicators</w:t>
      </w:r>
    </w:p>
    <w:p>
      <w:pPr>
        <w:pStyle w:val="ListParagraph"/>
        <w:numPr>
          <w:ilvl w:val="0"/>
          <w:numId w:val="2"/>
        </w:numPr>
        <w:spacing w:before="60" w:after="60"/>
      </w:pPr>
      <w:r>
        <w:rPr>
          <w:rFonts w:ascii="Arial" w:cs="Arial" w:eastAsia="Arial" w:hAnsi="Arial"/>
          <w:color w:val="1E293B"/>
          <w:sz w:val="22"/>
          <w:szCs w:val="22"/>
        </w:rPr>
        <w:t xml:space="preserve">RSI (14-period): Standard Wilder RSI. Overbought &gt; 70, Oversold &lt; 30, neutral 40–60</w:t>
      </w:r>
    </w:p>
    <w:p>
      <w:pPr>
        <w:pStyle w:val="ListParagraph"/>
        <w:numPr>
          <w:ilvl w:val="0"/>
          <w:numId w:val="2"/>
        </w:numPr>
        <w:spacing w:before="60" w:after="60"/>
      </w:pPr>
      <w:r>
        <w:rPr>
          <w:rFonts w:ascii="Arial" w:cs="Arial" w:eastAsia="Arial" w:hAnsi="Arial"/>
          <w:color w:val="1E293B"/>
          <w:sz w:val="22"/>
          <w:szCs w:val="22"/>
        </w:rPr>
        <w:t xml:space="preserve">MACD (12, 26, 9): Signal line crossover is the trigger. Histogram direction shows momentum change</w:t>
      </w:r>
    </w:p>
    <w:p>
      <w:pPr>
        <w:pStyle w:val="ListParagraph"/>
        <w:numPr>
          <w:ilvl w:val="0"/>
          <w:numId w:val="2"/>
        </w:numPr>
        <w:spacing w:before="60" w:after="60"/>
      </w:pPr>
      <w:r>
        <w:rPr>
          <w:rFonts w:ascii="Arial" w:cs="Arial" w:eastAsia="Arial" w:hAnsi="Arial"/>
          <w:color w:val="1E293B"/>
          <w:sz w:val="22"/>
          <w:szCs w:val="22"/>
        </w:rPr>
        <w:t xml:space="preserve">Stochastic Oscillator (14, 3, 3): %K and %D lines. Used to confirm RSI signals</w:t>
      </w:r>
    </w:p>
    <w:p>
      <w:pPr>
        <w:pStyle w:val="ListParagraph"/>
        <w:numPr>
          <w:ilvl w:val="0"/>
          <w:numId w:val="2"/>
        </w:numPr>
        <w:spacing w:before="60" w:after="60"/>
      </w:pPr>
      <w:r>
        <w:rPr>
          <w:rFonts w:ascii="Arial" w:cs="Arial" w:eastAsia="Arial" w:hAnsi="Arial"/>
          <w:color w:val="1E293B"/>
          <w:sz w:val="22"/>
          <w:szCs w:val="22"/>
        </w:rPr>
        <w:t xml:space="preserve">Rate of Change (ROC, 10-period): Measures % price change over 10 days</w:t>
      </w:r>
    </w:p>
    <w:p>
      <w:pPr>
        <w:pStyle w:val="Heading3"/>
        <w:spacing w:before="240" w:after="120"/>
      </w:pPr>
      <w:r>
        <w:rPr>
          <w:rFonts w:ascii="Arial" w:cs="Arial" w:eastAsia="Arial" w:hAnsi="Arial"/>
          <w:b/>
          <w:bCs/>
          <w:color w:val="1E3A5F"/>
          <w:sz w:val="24"/>
          <w:szCs w:val="24"/>
        </w:rPr>
        <w:t xml:space="preserve">Volatility Indicators</w:t>
      </w:r>
    </w:p>
    <w:p>
      <w:pPr>
        <w:pStyle w:val="ListParagraph"/>
        <w:numPr>
          <w:ilvl w:val="0"/>
          <w:numId w:val="2"/>
        </w:numPr>
        <w:spacing w:before="60" w:after="60"/>
      </w:pPr>
      <w:r>
        <w:rPr>
          <w:rFonts w:ascii="Arial" w:cs="Arial" w:eastAsia="Arial" w:hAnsi="Arial"/>
          <w:color w:val="1E293B"/>
          <w:sz w:val="22"/>
          <w:szCs w:val="22"/>
        </w:rPr>
        <w:t xml:space="preserve">Bollinger Bands (20-period, 2 std dev): Band squeeze = low volatility = potential breakout</w:t>
      </w:r>
    </w:p>
    <w:p>
      <w:pPr>
        <w:pStyle w:val="ListParagraph"/>
        <w:numPr>
          <w:ilvl w:val="0"/>
          <w:numId w:val="2"/>
        </w:numPr>
        <w:spacing w:before="60" w:after="60"/>
      </w:pPr>
      <w:r>
        <w:rPr>
          <w:rFonts w:ascii="Arial" w:cs="Arial" w:eastAsia="Arial" w:hAnsi="Arial"/>
          <w:color w:val="1E293B"/>
          <w:sz w:val="22"/>
          <w:szCs w:val="22"/>
        </w:rPr>
        <w:t xml:space="preserve">ATR (14-period, Average True Range): Used to normalise support/resistance levels and set stop-loss distances</w:t>
      </w:r>
    </w:p>
    <w:p>
      <w:pPr>
        <w:pStyle w:val="ListParagraph"/>
        <w:numPr>
          <w:ilvl w:val="0"/>
          <w:numId w:val="2"/>
        </w:numPr>
        <w:spacing w:before="60" w:after="60"/>
      </w:pPr>
      <w:r>
        <w:rPr>
          <w:rFonts w:ascii="Arial" w:cs="Arial" w:eastAsia="Arial" w:hAnsi="Arial"/>
          <w:color w:val="1E293B"/>
          <w:sz w:val="22"/>
          <w:szCs w:val="22"/>
        </w:rPr>
        <w:t xml:space="preserve">Historical Volatility (20-day HV): Standard deviation of log returns × √252</w:t>
      </w:r>
    </w:p>
    <w:p>
      <w:pPr>
        <w:pStyle w:val="Heading3"/>
        <w:spacing w:before="240" w:after="120"/>
      </w:pPr>
      <w:r>
        <w:rPr>
          <w:rFonts w:ascii="Arial" w:cs="Arial" w:eastAsia="Arial" w:hAnsi="Arial"/>
          <w:b/>
          <w:bCs/>
          <w:color w:val="1E3A5F"/>
          <w:sz w:val="24"/>
          <w:szCs w:val="24"/>
        </w:rPr>
        <w:t xml:space="preserve">Volume Analysis</w:t>
      </w:r>
    </w:p>
    <w:p>
      <w:pPr>
        <w:pStyle w:val="ListParagraph"/>
        <w:numPr>
          <w:ilvl w:val="0"/>
          <w:numId w:val="2"/>
        </w:numPr>
        <w:spacing w:before="60" w:after="60"/>
      </w:pPr>
      <w:r>
        <w:rPr>
          <w:rFonts w:ascii="Arial" w:cs="Arial" w:eastAsia="Arial" w:hAnsi="Arial"/>
          <w:color w:val="1E293B"/>
          <w:sz w:val="22"/>
          <w:szCs w:val="22"/>
        </w:rPr>
        <w:t xml:space="preserve">OBV (On-Balance Volume): Cumulative volume direction indicator. OBV rising with price = confirmation; OBV falling with price = divergence warning</w:t>
      </w:r>
    </w:p>
    <w:p>
      <w:pPr>
        <w:pStyle w:val="ListParagraph"/>
        <w:numPr>
          <w:ilvl w:val="0"/>
          <w:numId w:val="2"/>
        </w:numPr>
        <w:spacing w:before="60" w:after="60"/>
      </w:pPr>
      <w:r>
        <w:rPr>
          <w:rFonts w:ascii="Arial" w:cs="Arial" w:eastAsia="Arial" w:hAnsi="Arial"/>
          <w:color w:val="1E293B"/>
          <w:sz w:val="22"/>
          <w:szCs w:val="22"/>
        </w:rPr>
        <w:t xml:space="preserve">VWAP (intraday): Volume-Weighted Average Price — institutional reference level</w:t>
      </w:r>
    </w:p>
    <w:p>
      <w:pPr>
        <w:pStyle w:val="ListParagraph"/>
        <w:numPr>
          <w:ilvl w:val="0"/>
          <w:numId w:val="2"/>
        </w:numPr>
        <w:spacing w:before="60" w:after="60"/>
      </w:pPr>
      <w:r>
        <w:rPr>
          <w:rFonts w:ascii="Arial" w:cs="Arial" w:eastAsia="Arial" w:hAnsi="Arial"/>
          <w:color w:val="1E293B"/>
          <w:sz w:val="22"/>
          <w:szCs w:val="22"/>
        </w:rPr>
        <w:t xml:space="preserve">Volume vs 20-day average: Volume spike = 1.5x average is noteworthy; 2x is significant</w:t>
      </w:r>
    </w:p>
    <w:p>
      <w:pPr>
        <w:pStyle w:val="ListParagraph"/>
        <w:numPr>
          <w:ilvl w:val="0"/>
          <w:numId w:val="2"/>
        </w:numPr>
        <w:spacing w:before="60" w:after="60"/>
      </w:pPr>
      <w:r>
        <w:rPr>
          <w:rFonts w:ascii="Arial" w:cs="Arial" w:eastAsia="Arial" w:hAnsi="Arial"/>
          <w:color w:val="1E293B"/>
          <w:sz w:val="22"/>
          <w:szCs w:val="22"/>
        </w:rPr>
        <w:t xml:space="preserve">CMF (Chaikin Money Flow, 20-period): Positive CMF = accumulation; negative = distribution</w:t>
      </w:r>
    </w:p>
    <w:p>
      <w:pPr>
        <w:pStyle w:val="Heading3"/>
        <w:spacing w:before="240" w:after="120"/>
      </w:pPr>
      <w:r>
        <w:rPr>
          <w:rFonts w:ascii="Arial" w:cs="Arial" w:eastAsia="Arial" w:hAnsi="Arial"/>
          <w:b/>
          <w:bCs/>
          <w:color w:val="1E3A5F"/>
          <w:sz w:val="24"/>
          <w:szCs w:val="24"/>
        </w:rPr>
        <w:t xml:space="preserve">Support &amp; Resistance</w:t>
      </w:r>
    </w:p>
    <w:p>
      <w:pPr>
        <w:pStyle w:val="ListParagraph"/>
        <w:numPr>
          <w:ilvl w:val="0"/>
          <w:numId w:val="2"/>
        </w:numPr>
        <w:spacing w:before="60" w:after="60"/>
      </w:pPr>
      <w:r>
        <w:rPr>
          <w:rFonts w:ascii="Arial" w:cs="Arial" w:eastAsia="Arial" w:hAnsi="Arial"/>
          <w:color w:val="1E293B"/>
          <w:sz w:val="22"/>
          <w:szCs w:val="22"/>
        </w:rPr>
        <w:t xml:space="preserve">Pivot Points (Standard): PP = (H+L+C)/3; R1 = 2×PP−L; S1 = 2×PP−H</w:t>
      </w:r>
    </w:p>
    <w:p>
      <w:pPr>
        <w:pStyle w:val="ListParagraph"/>
        <w:numPr>
          <w:ilvl w:val="0"/>
          <w:numId w:val="2"/>
        </w:numPr>
        <w:spacing w:before="60" w:after="60"/>
      </w:pPr>
      <w:r>
        <w:rPr>
          <w:rFonts w:ascii="Arial" w:cs="Arial" w:eastAsia="Arial" w:hAnsi="Arial"/>
          <w:color w:val="1E293B"/>
          <w:sz w:val="22"/>
          <w:szCs w:val="22"/>
        </w:rPr>
        <w:t xml:space="preserve">Swing highs / swing lows (last 52 weeks): Tag as key resistance / support</w:t>
      </w:r>
    </w:p>
    <w:p>
      <w:pPr>
        <w:pStyle w:val="ListParagraph"/>
        <w:numPr>
          <w:ilvl w:val="0"/>
          <w:numId w:val="2"/>
        </w:numPr>
        <w:spacing w:before="60" w:after="60"/>
      </w:pPr>
      <w:r>
        <w:rPr>
          <w:rFonts w:ascii="Arial" w:cs="Arial" w:eastAsia="Arial" w:hAnsi="Arial"/>
          <w:color w:val="1E293B"/>
          <w:sz w:val="22"/>
          <w:szCs w:val="22"/>
        </w:rPr>
        <w:t xml:space="preserve">Fibonacci retracement levels: 23.6%, 38.2%, 50%, 61.8% from last significant swing</w:t>
      </w:r>
    </w:p>
    <w:p>
      <w:pPr>
        <w:pStyle w:val="Heading2"/>
        <w:spacing w:before="320" w:after="160"/>
      </w:pPr>
      <w:r>
        <w:rPr>
          <w:rFonts w:ascii="Arial" w:cs="Arial" w:eastAsia="Arial" w:hAnsi="Arial"/>
          <w:b/>
          <w:bCs/>
          <w:color w:val="2563EB"/>
          <w:sz w:val="28"/>
          <w:szCs w:val="28"/>
        </w:rPr>
        <w:t xml:space="preserve">Technical Scoring Algorithm</w:t>
      </w:r>
    </w:p>
    <w:p>
      <w:pPr>
        <w:spacing w:before="80" w:after="100"/>
      </w:pPr>
      <w:r>
        <w:rPr>
          <w:rFonts w:ascii="Arial" w:cs="Arial" w:eastAsia="Arial" w:hAnsi="Arial"/>
          <w:color w:val="1E293B"/>
          <w:sz w:val="22"/>
          <w:szCs w:val="22"/>
        </w:rPr>
        <w:t xml:space="preserve">Technical score = weighted sum of indicator sub-signals (0–100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5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Indicator Group</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Sub-Signals</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 Points</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Scoring Logic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Trend (30 pts)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MA alignment, Golden/Death Cross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All MAs aligned bullish = 30; mixed = 10–20; bearish = 0</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Momentum (25 pts)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RSI zone, MACD signal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25</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RSI 40–60 neutral; &lt;30 oversold+buy = 20; MACD crossover = +5</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Volume (20 pts)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OBV direction, volume spike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OBV divergence = -15; spike with price up = +20</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Volatility (15 pts)</w:t>
            </w:r>
          </w:p>
        </w:tc>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BB position, ATR</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Near lower BB = +15; near upper = 0; squeeze = +10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S/R Levels (10 pts)</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Proximity to support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Within 2% of support = +10; within 2% of resistance = 0</w:t>
            </w:r>
          </w:p>
        </w:tc>
      </w:tr>
    </w:tbl>
    <w:p>
      <w:pPr>
        <w:spacing w:before="160" w:after="80"/>
      </w:pPr>
    </w:p>
    <w:p>
      <w:pPr>
        <w:pStyle w:val="Heading2"/>
        <w:spacing w:before="320" w:after="160"/>
      </w:pPr>
      <w:r>
        <w:rPr>
          <w:rFonts w:ascii="Arial" w:cs="Arial" w:eastAsia="Arial" w:hAnsi="Arial"/>
          <w:b/>
          <w:bCs/>
          <w:color w:val="2563EB"/>
          <w:sz w:val="28"/>
          <w:szCs w:val="28"/>
        </w:rPr>
        <w:t xml:space="preserve">Output Schema — data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Field</w:t>
            </w:r>
          </w:p>
        </w:tc>
        <w:tc>
          <w:tcPr>
            <w:tcW w:type="dxa" w:w="2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45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technical_score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 (0–100)</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Composite technical score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trend_signal</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'strong_uptrend' | 'uptrend' | 'sideways' | 'downtrend' | 'strong_downtrend'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rsi_14</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Current RSI value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macd_signal</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'bullish_crossover' | 'bearish_crossover' | 'positive' | 'negative'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ma_alignment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object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SMA20, SMA50, SMA200 values and price position relative to each</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volume_signal</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'accumulation' | 'distribution' | 'neutral'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support_level</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Nearest key support price level</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resistance_level</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Nearest key resistance price level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bollinger_position</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'near_lower' | 'middle' | 'near_upper' | 'squeeze'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atr_14</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14-period ATR value (used for stop-loss sizing)</w:t>
            </w:r>
          </w:p>
        </w:tc>
      </w:tr>
    </w:tbl>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160"/>
              <w:left w:type="dxa" w:w="240"/>
              <w:bottom w:type="dxa" w:w="160"/>
              <w:right w:type="dxa" w:w="240"/>
            </w:tcMar>
          </w:tcPr>
          <w:p>
            <w:pPr>
              <w:spacing w:before="40" w:after="40"/>
            </w:pPr>
            <w:r>
              <w:rPr>
                <w:rFonts w:ascii="Arial" w:cs="Arial" w:eastAsia="Arial" w:hAnsi="Arial"/>
                <w:b/>
                <w:bCs/>
                <w:color w:val="FFFFFF"/>
                <w:sz w:val="32"/>
                <w:szCs w:val="32"/>
              </w:rPr>
              <w:t xml:space="preserve">📈  Agent 4: Fundamental Agent</w:t>
            </w:r>
          </w:p>
          <w:p>
            <w:pPr>
              <w:spacing w:before="20" w:after="40"/>
            </w:pPr>
            <w:r>
              <w:rPr>
                <w:rFonts w:ascii="Arial" w:cs="Arial" w:eastAsia="Arial" w:hAnsi="Arial"/>
                <w:i/>
                <w:iCs/>
                <w:color w:val="BFDBFE"/>
                <w:sz w:val="20"/>
                <w:szCs w:val="20"/>
              </w:rPr>
              <w:t xml:space="preserve">Financial Statement &amp; Ratio Analysis</w:t>
            </w:r>
          </w:p>
        </w:tc>
      </w:tr>
    </w:tbl>
    <w:p>
      <w:pPr>
        <w:spacing w:before="200" w:after="100"/>
      </w:pPr>
    </w:p>
    <w:p>
      <w:pPr>
        <w:pStyle w:val="Heading2"/>
        <w:spacing w:before="320" w:after="160"/>
      </w:pPr>
      <w:r>
        <w:rPr>
          <w:rFonts w:ascii="Arial" w:cs="Arial" w:eastAsia="Arial" w:hAnsi="Arial"/>
          <w:b/>
          <w:bCs/>
          <w:color w:val="2563EB"/>
          <w:sz w:val="28"/>
          <w:szCs w:val="28"/>
        </w:rPr>
        <w:t xml:space="preserve">Purpose</w:t>
      </w:r>
    </w:p>
    <w:p>
      <w:pPr>
        <w:spacing w:before="80" w:after="100"/>
      </w:pPr>
      <w:r>
        <w:rPr>
          <w:rFonts w:ascii="Arial" w:cs="Arial" w:eastAsia="Arial" w:hAnsi="Arial"/>
          <w:color w:val="1E293B"/>
          <w:sz w:val="22"/>
          <w:szCs w:val="22"/>
        </w:rPr>
        <w:t xml:space="preserve">The Fundamental Agent evaluates the intrinsic financial quality of the business. It parses income statements, balance sheets, and cash flow statements to compute key ratios, detect trends, and assign a fundamental quality score.</w:t>
      </w:r>
    </w:p>
    <w:p>
      <w:pPr>
        <w:pStyle w:val="Heading2"/>
        <w:spacing w:before="320" w:after="160"/>
      </w:pPr>
      <w:r>
        <w:rPr>
          <w:rFonts w:ascii="Arial" w:cs="Arial" w:eastAsia="Arial" w:hAnsi="Arial"/>
          <w:b/>
          <w:bCs/>
          <w:color w:val="2563EB"/>
          <w:sz w:val="28"/>
          <w:szCs w:val="28"/>
        </w:rPr>
        <w:t xml:space="preserve">Data Sources</w:t>
      </w:r>
    </w:p>
    <w:p>
      <w:pPr>
        <w:pStyle w:val="ListParagraph"/>
        <w:numPr>
          <w:ilvl w:val="0"/>
          <w:numId w:val="2"/>
        </w:numPr>
        <w:spacing w:before="60" w:after="60"/>
      </w:pPr>
      <w:r>
        <w:rPr>
          <w:rFonts w:ascii="Arial" w:cs="Arial" w:eastAsia="Arial" w:hAnsi="Arial"/>
          <w:color w:val="1E293B"/>
          <w:sz w:val="22"/>
          <w:szCs w:val="22"/>
        </w:rPr>
        <w:t xml:space="preserve">Yahoo Finance (yfinance): .financials, .balance_sheet, .cashflow, .info properties</w:t>
      </w:r>
    </w:p>
    <w:p>
      <w:pPr>
        <w:pStyle w:val="ListParagraph"/>
        <w:numPr>
          <w:ilvl w:val="0"/>
          <w:numId w:val="2"/>
        </w:numPr>
        <w:spacing w:before="60" w:after="60"/>
      </w:pPr>
      <w:r>
        <w:rPr>
          <w:rFonts w:ascii="Arial" w:cs="Arial" w:eastAsia="Arial" w:hAnsi="Arial"/>
          <w:color w:val="1E293B"/>
          <w:sz w:val="22"/>
          <w:szCs w:val="22"/>
        </w:rPr>
        <w:t xml:space="preserve">Financial Modeling Prep (FMP) API: financialmodelingprep.com — more reliable for Indian stocks</w:t>
      </w:r>
    </w:p>
    <w:p>
      <w:pPr>
        <w:pStyle w:val="ListParagraph"/>
        <w:numPr>
          <w:ilvl w:val="0"/>
          <w:numId w:val="2"/>
        </w:numPr>
        <w:spacing w:before="60" w:after="60"/>
      </w:pPr>
      <w:r>
        <w:rPr>
          <w:rFonts w:ascii="Arial" w:cs="Arial" w:eastAsia="Arial" w:hAnsi="Arial"/>
          <w:color w:val="1E293B"/>
          <w:sz w:val="22"/>
          <w:szCs w:val="22"/>
        </w:rPr>
        <w:t xml:space="preserve">Screener.in scraper (for BSE/NSE stocks): Structured financial data</w:t>
      </w:r>
    </w:p>
    <w:p>
      <w:pPr>
        <w:pStyle w:val="ListParagraph"/>
        <w:numPr>
          <w:ilvl w:val="0"/>
          <w:numId w:val="2"/>
        </w:numPr>
        <w:spacing w:before="60" w:after="60"/>
      </w:pPr>
      <w:r>
        <w:rPr>
          <w:rFonts w:ascii="Arial" w:cs="Arial" w:eastAsia="Arial" w:hAnsi="Arial"/>
          <w:color w:val="1E293B"/>
          <w:sz w:val="22"/>
          <w:szCs w:val="22"/>
        </w:rPr>
        <w:t xml:space="preserve">BSE/NSE XBRL filings: For raw financial data conforming to Indian accounting standards</w:t>
      </w:r>
    </w:p>
    <w:p>
      <w:pPr>
        <w:pStyle w:val="Heading2"/>
        <w:spacing w:before="320" w:after="160"/>
      </w:pPr>
      <w:r>
        <w:rPr>
          <w:rFonts w:ascii="Arial" w:cs="Arial" w:eastAsia="Arial" w:hAnsi="Arial"/>
          <w:b/>
          <w:bCs/>
          <w:color w:val="2563EB"/>
          <w:sz w:val="28"/>
          <w:szCs w:val="28"/>
        </w:rPr>
        <w:t xml:space="preserve">Financial Ratios — Definitions &amp; Thresholds</w:t>
      </w:r>
    </w:p>
    <w:p>
      <w:pPr>
        <w:pStyle w:val="Heading3"/>
        <w:spacing w:before="240" w:after="120"/>
      </w:pPr>
      <w:r>
        <w:rPr>
          <w:rFonts w:ascii="Arial" w:cs="Arial" w:eastAsia="Arial" w:hAnsi="Arial"/>
          <w:b/>
          <w:bCs/>
          <w:color w:val="1E3A5F"/>
          <w:sz w:val="24"/>
          <w:szCs w:val="24"/>
        </w:rPr>
        <w:t xml:space="preserve">Valuation Ratios</w:t>
      </w:r>
    </w:p>
    <w:p>
      <w:pPr>
        <w:pStyle w:val="ListParagraph"/>
        <w:numPr>
          <w:ilvl w:val="0"/>
          <w:numId w:val="2"/>
        </w:numPr>
        <w:spacing w:before="60" w:after="60"/>
      </w:pPr>
      <w:r>
        <w:rPr>
          <w:rFonts w:ascii="Arial" w:cs="Arial" w:eastAsia="Arial" w:hAnsi="Arial"/>
          <w:color w:val="1E293B"/>
          <w:sz w:val="22"/>
          <w:szCs w:val="22"/>
        </w:rPr>
        <w:t xml:space="preserve">P/E Ratio (Price/EPS): Compare to sector median. &gt; 2x sector median = overvalued; &lt; 0.5x = potentially undervalued or value trap.</w:t>
      </w:r>
    </w:p>
    <w:p>
      <w:pPr>
        <w:pStyle w:val="ListParagraph"/>
        <w:numPr>
          <w:ilvl w:val="0"/>
          <w:numId w:val="2"/>
        </w:numPr>
        <w:spacing w:before="60" w:after="60"/>
      </w:pPr>
      <w:r>
        <w:rPr>
          <w:rFonts w:ascii="Arial" w:cs="Arial" w:eastAsia="Arial" w:hAnsi="Arial"/>
          <w:color w:val="1E293B"/>
          <w:sz w:val="22"/>
          <w:szCs w:val="22"/>
        </w:rPr>
        <w:t xml:space="preserve">P/B Ratio (Price/Book Value per share): P/B &lt; 1.0 can indicate undervaluation; used with ROE for context.</w:t>
      </w:r>
    </w:p>
    <w:p>
      <w:pPr>
        <w:pStyle w:val="ListParagraph"/>
        <w:numPr>
          <w:ilvl w:val="0"/>
          <w:numId w:val="2"/>
        </w:numPr>
        <w:spacing w:before="60" w:after="60"/>
      </w:pPr>
      <w:r>
        <w:rPr>
          <w:rFonts w:ascii="Arial" w:cs="Arial" w:eastAsia="Arial" w:hAnsi="Arial"/>
          <w:color w:val="1E293B"/>
          <w:sz w:val="22"/>
          <w:szCs w:val="22"/>
        </w:rPr>
        <w:t xml:space="preserve">EV/EBITDA: Enterprise Value / EBITDA. More capital-structure-neutral than P/E. &lt; 8x = attractive for mature businesses.</w:t>
      </w:r>
    </w:p>
    <w:p>
      <w:pPr>
        <w:pStyle w:val="ListParagraph"/>
        <w:numPr>
          <w:ilvl w:val="0"/>
          <w:numId w:val="2"/>
        </w:numPr>
        <w:spacing w:before="60" w:after="60"/>
      </w:pPr>
      <w:r>
        <w:rPr>
          <w:rFonts w:ascii="Arial" w:cs="Arial" w:eastAsia="Arial" w:hAnsi="Arial"/>
          <w:color w:val="1E293B"/>
          <w:sz w:val="22"/>
          <w:szCs w:val="22"/>
        </w:rPr>
        <w:t xml:space="preserve">PEG Ratio (P/E / EPS Growth Rate): PEG &lt; 1.0 = undervalued relative to growth. Peter Lynch's preferred metric.</w:t>
      </w:r>
    </w:p>
    <w:p>
      <w:pPr>
        <w:pStyle w:val="ListParagraph"/>
        <w:numPr>
          <w:ilvl w:val="0"/>
          <w:numId w:val="2"/>
        </w:numPr>
        <w:spacing w:before="60" w:after="60"/>
      </w:pPr>
      <w:r>
        <w:rPr>
          <w:rFonts w:ascii="Arial" w:cs="Arial" w:eastAsia="Arial" w:hAnsi="Arial"/>
          <w:color w:val="1E293B"/>
          <w:sz w:val="22"/>
          <w:szCs w:val="22"/>
        </w:rPr>
        <w:t xml:space="preserve">Price/Sales (P/S): Useful when EPS is negative. &lt; 1.0 generally cheap; depends heavily on margin profile.</w:t>
      </w:r>
    </w:p>
    <w:p>
      <w:pPr>
        <w:pStyle w:val="Heading3"/>
        <w:spacing w:before="240" w:after="120"/>
      </w:pPr>
      <w:r>
        <w:rPr>
          <w:rFonts w:ascii="Arial" w:cs="Arial" w:eastAsia="Arial" w:hAnsi="Arial"/>
          <w:b/>
          <w:bCs/>
          <w:color w:val="1E3A5F"/>
          <w:sz w:val="24"/>
          <w:szCs w:val="24"/>
        </w:rPr>
        <w:t xml:space="preserve">Profitability Ratios</w:t>
      </w:r>
    </w:p>
    <w:p>
      <w:pPr>
        <w:pStyle w:val="ListParagraph"/>
        <w:numPr>
          <w:ilvl w:val="0"/>
          <w:numId w:val="2"/>
        </w:numPr>
        <w:spacing w:before="60" w:after="60"/>
      </w:pPr>
      <w:r>
        <w:rPr>
          <w:rFonts w:ascii="Arial" w:cs="Arial" w:eastAsia="Arial" w:hAnsi="Arial"/>
          <w:color w:val="1E293B"/>
          <w:sz w:val="22"/>
          <w:szCs w:val="22"/>
        </w:rPr>
        <w:t xml:space="preserve">ROE (Return on Equity) = Net Income / Shareholder Equity. Target: &gt; 15% consistently. Must be checked against leverage (high debt can inflate ROE artificially).</w:t>
      </w:r>
    </w:p>
    <w:p>
      <w:pPr>
        <w:pStyle w:val="ListParagraph"/>
        <w:numPr>
          <w:ilvl w:val="0"/>
          <w:numId w:val="2"/>
        </w:numPr>
        <w:spacing w:before="60" w:after="60"/>
      </w:pPr>
      <w:r>
        <w:rPr>
          <w:rFonts w:ascii="Arial" w:cs="Arial" w:eastAsia="Arial" w:hAnsi="Arial"/>
          <w:color w:val="1E293B"/>
          <w:sz w:val="22"/>
          <w:szCs w:val="22"/>
        </w:rPr>
        <w:t xml:space="preserve">ROCE (Return on Capital Employed) = EBIT / Capital Employed. Better than ROE as it includes debt. &gt; 12% is healthy.</w:t>
      </w:r>
    </w:p>
    <w:p>
      <w:pPr>
        <w:pStyle w:val="ListParagraph"/>
        <w:numPr>
          <w:ilvl w:val="0"/>
          <w:numId w:val="2"/>
        </w:numPr>
        <w:spacing w:before="60" w:after="60"/>
      </w:pPr>
      <w:r>
        <w:rPr>
          <w:rFonts w:ascii="Arial" w:cs="Arial" w:eastAsia="Arial" w:hAnsi="Arial"/>
          <w:color w:val="1E293B"/>
          <w:sz w:val="22"/>
          <w:szCs w:val="22"/>
        </w:rPr>
        <w:t xml:space="preserve">Net Profit Margin = Net Income / Revenue. Track 5-year trend for consistency.</w:t>
      </w:r>
    </w:p>
    <w:p>
      <w:pPr>
        <w:pStyle w:val="ListParagraph"/>
        <w:numPr>
          <w:ilvl w:val="0"/>
          <w:numId w:val="2"/>
        </w:numPr>
        <w:spacing w:before="60" w:after="60"/>
      </w:pPr>
      <w:r>
        <w:rPr>
          <w:rFonts w:ascii="Arial" w:cs="Arial" w:eastAsia="Arial" w:hAnsi="Arial"/>
          <w:color w:val="1E293B"/>
          <w:sz w:val="22"/>
          <w:szCs w:val="22"/>
        </w:rPr>
        <w:t xml:space="preserve">Operating Margin = Operating Income / Revenue. More stable than net margin; excludes financing effects.</w:t>
      </w:r>
    </w:p>
    <w:p>
      <w:pPr>
        <w:pStyle w:val="ListParagraph"/>
        <w:numPr>
          <w:ilvl w:val="0"/>
          <w:numId w:val="2"/>
        </w:numPr>
        <w:spacing w:before="60" w:after="60"/>
      </w:pPr>
      <w:r>
        <w:rPr>
          <w:rFonts w:ascii="Arial" w:cs="Arial" w:eastAsia="Arial" w:hAnsi="Arial"/>
          <w:color w:val="1E293B"/>
          <w:sz w:val="22"/>
          <w:szCs w:val="22"/>
        </w:rPr>
        <w:t xml:space="preserve">Gross Margin = Gross Profit / Revenue. Indicates pricing power and cost structure.</w:t>
      </w:r>
    </w:p>
    <w:p>
      <w:pPr>
        <w:pStyle w:val="Heading3"/>
        <w:spacing w:before="240" w:after="120"/>
      </w:pPr>
      <w:r>
        <w:rPr>
          <w:rFonts w:ascii="Arial" w:cs="Arial" w:eastAsia="Arial" w:hAnsi="Arial"/>
          <w:b/>
          <w:bCs/>
          <w:color w:val="1E3A5F"/>
          <w:sz w:val="24"/>
          <w:szCs w:val="24"/>
        </w:rPr>
        <w:t xml:space="preserve">Liquidity Ratios</w:t>
      </w:r>
    </w:p>
    <w:p>
      <w:pPr>
        <w:pStyle w:val="ListParagraph"/>
        <w:numPr>
          <w:ilvl w:val="0"/>
          <w:numId w:val="2"/>
        </w:numPr>
        <w:spacing w:before="60" w:after="60"/>
      </w:pPr>
      <w:r>
        <w:rPr>
          <w:rFonts w:ascii="Arial" w:cs="Arial" w:eastAsia="Arial" w:hAnsi="Arial"/>
          <w:color w:val="1E293B"/>
          <w:sz w:val="22"/>
          <w:szCs w:val="22"/>
        </w:rPr>
        <w:t xml:space="preserve">Current Ratio = Current Assets / Current Liabilities. &gt; 1.5 is healthy. &lt; 1.0 indicates potential short-term stress.</w:t>
      </w:r>
    </w:p>
    <w:p>
      <w:pPr>
        <w:pStyle w:val="ListParagraph"/>
        <w:numPr>
          <w:ilvl w:val="0"/>
          <w:numId w:val="2"/>
        </w:numPr>
        <w:spacing w:before="60" w:after="60"/>
      </w:pPr>
      <w:r>
        <w:rPr>
          <w:rFonts w:ascii="Arial" w:cs="Arial" w:eastAsia="Arial" w:hAnsi="Arial"/>
          <w:color w:val="1E293B"/>
          <w:sz w:val="22"/>
          <w:szCs w:val="22"/>
        </w:rPr>
        <w:t xml:space="preserve">Quick Ratio (Acid Test) = (Current Assets − Inventory) / Current Liabilities. More conservative than current ratio.</w:t>
      </w:r>
    </w:p>
    <w:p>
      <w:pPr>
        <w:pStyle w:val="ListParagraph"/>
        <w:numPr>
          <w:ilvl w:val="0"/>
          <w:numId w:val="2"/>
        </w:numPr>
        <w:spacing w:before="60" w:after="60"/>
      </w:pPr>
      <w:r>
        <w:rPr>
          <w:rFonts w:ascii="Arial" w:cs="Arial" w:eastAsia="Arial" w:hAnsi="Arial"/>
          <w:color w:val="1E293B"/>
          <w:sz w:val="22"/>
          <w:szCs w:val="22"/>
        </w:rPr>
        <w:t xml:space="preserve">Cash Ratio = Cash / Current Liabilities. The most conservative liquidity measure.</w:t>
      </w:r>
    </w:p>
    <w:p>
      <w:pPr>
        <w:pStyle w:val="Heading3"/>
        <w:spacing w:before="240" w:after="120"/>
      </w:pPr>
      <w:r>
        <w:rPr>
          <w:rFonts w:ascii="Arial" w:cs="Arial" w:eastAsia="Arial" w:hAnsi="Arial"/>
          <w:b/>
          <w:bCs/>
          <w:color w:val="1E3A5F"/>
          <w:sz w:val="24"/>
          <w:szCs w:val="24"/>
        </w:rPr>
        <w:t xml:space="preserve">Leverage / Solvency Ratios</w:t>
      </w:r>
    </w:p>
    <w:p>
      <w:pPr>
        <w:pStyle w:val="ListParagraph"/>
        <w:numPr>
          <w:ilvl w:val="0"/>
          <w:numId w:val="2"/>
        </w:numPr>
        <w:spacing w:before="60" w:after="60"/>
      </w:pPr>
      <w:r>
        <w:rPr>
          <w:rFonts w:ascii="Arial" w:cs="Arial" w:eastAsia="Arial" w:hAnsi="Arial"/>
          <w:color w:val="1E293B"/>
          <w:sz w:val="22"/>
          <w:szCs w:val="22"/>
        </w:rPr>
        <w:t xml:space="preserve">Debt/Equity (D/E) = Total Debt / Shareholder Equity. &lt; 0.5 conservative; 0.5–1.0 moderate; &gt; 2.0 high risk.</w:t>
      </w:r>
    </w:p>
    <w:p>
      <w:pPr>
        <w:pStyle w:val="ListParagraph"/>
        <w:numPr>
          <w:ilvl w:val="0"/>
          <w:numId w:val="2"/>
        </w:numPr>
        <w:spacing w:before="60" w:after="60"/>
      </w:pPr>
      <w:r>
        <w:rPr>
          <w:rFonts w:ascii="Arial" w:cs="Arial" w:eastAsia="Arial" w:hAnsi="Arial"/>
          <w:color w:val="1E293B"/>
          <w:sz w:val="22"/>
          <w:szCs w:val="22"/>
        </w:rPr>
        <w:t xml:space="preserve">Interest Coverage = EBIT / Interest Expense. &gt; 3x is safe; &lt; 1.5x is dangerous.</w:t>
      </w:r>
    </w:p>
    <w:p>
      <w:pPr>
        <w:pStyle w:val="ListParagraph"/>
        <w:numPr>
          <w:ilvl w:val="0"/>
          <w:numId w:val="2"/>
        </w:numPr>
        <w:spacing w:before="60" w:after="60"/>
      </w:pPr>
      <w:r>
        <w:rPr>
          <w:rFonts w:ascii="Arial" w:cs="Arial" w:eastAsia="Arial" w:hAnsi="Arial"/>
          <w:color w:val="1E293B"/>
          <w:sz w:val="22"/>
          <w:szCs w:val="22"/>
        </w:rPr>
        <w:t xml:space="preserve">Debt/EBITDA: &lt; 2x is comfortable; &gt; 4x is a red flag.</w:t>
      </w:r>
    </w:p>
    <w:p>
      <w:pPr>
        <w:pStyle w:val="Heading3"/>
        <w:spacing w:before="240" w:after="120"/>
      </w:pPr>
      <w:r>
        <w:rPr>
          <w:rFonts w:ascii="Arial" w:cs="Arial" w:eastAsia="Arial" w:hAnsi="Arial"/>
          <w:b/>
          <w:bCs/>
          <w:color w:val="1E3A5F"/>
          <w:sz w:val="24"/>
          <w:szCs w:val="24"/>
        </w:rPr>
        <w:t xml:space="preserve">Efficiency Ratios</w:t>
      </w:r>
    </w:p>
    <w:p>
      <w:pPr>
        <w:pStyle w:val="ListParagraph"/>
        <w:numPr>
          <w:ilvl w:val="0"/>
          <w:numId w:val="2"/>
        </w:numPr>
        <w:spacing w:before="60" w:after="60"/>
      </w:pPr>
      <w:r>
        <w:rPr>
          <w:rFonts w:ascii="Arial" w:cs="Arial" w:eastAsia="Arial" w:hAnsi="Arial"/>
          <w:color w:val="1E293B"/>
          <w:sz w:val="22"/>
          <w:szCs w:val="22"/>
        </w:rPr>
        <w:t xml:space="preserve">Asset Turnover = Revenue / Total Assets. Measures how efficiently assets generate revenue.</w:t>
      </w:r>
    </w:p>
    <w:p>
      <w:pPr>
        <w:pStyle w:val="ListParagraph"/>
        <w:numPr>
          <w:ilvl w:val="0"/>
          <w:numId w:val="2"/>
        </w:numPr>
        <w:spacing w:before="60" w:after="60"/>
      </w:pPr>
      <w:r>
        <w:rPr>
          <w:rFonts w:ascii="Arial" w:cs="Arial" w:eastAsia="Arial" w:hAnsi="Arial"/>
          <w:color w:val="1E293B"/>
          <w:sz w:val="22"/>
          <w:szCs w:val="22"/>
        </w:rPr>
        <w:t xml:space="preserve">Inventory Turnover = COGS / Average Inventory. Low turnover in retail = slow-moving stock problem.</w:t>
      </w:r>
    </w:p>
    <w:p>
      <w:pPr>
        <w:pStyle w:val="ListParagraph"/>
        <w:numPr>
          <w:ilvl w:val="0"/>
          <w:numId w:val="2"/>
        </w:numPr>
        <w:spacing w:before="60" w:after="60"/>
      </w:pPr>
      <w:r>
        <w:rPr>
          <w:rFonts w:ascii="Arial" w:cs="Arial" w:eastAsia="Arial" w:hAnsi="Arial"/>
          <w:color w:val="1E293B"/>
          <w:sz w:val="22"/>
          <w:szCs w:val="22"/>
        </w:rPr>
        <w:t xml:space="preserve">Receivables Days (DSO) = (AR / Revenue) × 365. Rising DSO = potential collection issues.</w:t>
      </w:r>
    </w:p>
    <w:p>
      <w:pPr>
        <w:pStyle w:val="ListParagraph"/>
        <w:numPr>
          <w:ilvl w:val="0"/>
          <w:numId w:val="2"/>
        </w:numPr>
        <w:spacing w:before="60" w:after="60"/>
      </w:pPr>
      <w:r>
        <w:rPr>
          <w:rFonts w:ascii="Arial" w:cs="Arial" w:eastAsia="Arial" w:hAnsi="Arial"/>
          <w:color w:val="1E293B"/>
          <w:sz w:val="22"/>
          <w:szCs w:val="22"/>
        </w:rPr>
        <w:t xml:space="preserve">Free Cash Flow (FCF) = Operating Cash Flow − Capex. Positive and growing FCF = high quality earnings.</w:t>
      </w:r>
    </w:p>
    <w:p>
      <w:pPr>
        <w:pStyle w:val="ListParagraph"/>
        <w:numPr>
          <w:ilvl w:val="0"/>
          <w:numId w:val="2"/>
        </w:numPr>
        <w:spacing w:before="60" w:after="60"/>
      </w:pPr>
      <w:r>
        <w:rPr>
          <w:rFonts w:ascii="Arial" w:cs="Arial" w:eastAsia="Arial" w:hAnsi="Arial"/>
          <w:color w:val="1E293B"/>
          <w:sz w:val="22"/>
          <w:szCs w:val="22"/>
        </w:rPr>
        <w:t xml:space="preserve">FCF Yield = FCF / Market Cap. &gt; 5% is attractive.</w:t>
      </w:r>
    </w:p>
    <w:p>
      <w:pPr>
        <w:pStyle w:val="Heading2"/>
        <w:spacing w:before="320" w:after="160"/>
      </w:pPr>
      <w:r>
        <w:rPr>
          <w:rFonts w:ascii="Arial" w:cs="Arial" w:eastAsia="Arial" w:hAnsi="Arial"/>
          <w:b/>
          <w:bCs/>
          <w:color w:val="2563EB"/>
          <w:sz w:val="28"/>
          <w:szCs w:val="28"/>
        </w:rPr>
        <w:t xml:space="preserve">Scoring Model</w:t>
      </w:r>
    </w:p>
    <w:p>
      <w:pPr>
        <w:spacing w:before="80" w:after="100"/>
      </w:pPr>
      <w:r>
        <w:rPr>
          <w:rFonts w:ascii="Arial" w:cs="Arial" w:eastAsia="Arial" w:hAnsi="Arial"/>
          <w:color w:val="1E293B"/>
          <w:sz w:val="22"/>
          <w:szCs w:val="22"/>
        </w:rPr>
        <w:t xml:space="preserve">Each ratio is normalised against sector medians and historical range to produce a sub-score:</w:t>
      </w:r>
    </w:p>
    <w:p>
      <w:pPr>
        <w:pStyle w:val="ListParagraph"/>
        <w:numPr>
          <w:ilvl w:val="0"/>
          <w:numId w:val="2"/>
        </w:numPr>
        <w:spacing w:before="60" w:after="60"/>
      </w:pPr>
      <w:r>
        <w:rPr>
          <w:rFonts w:ascii="Arial" w:cs="Arial" w:eastAsia="Arial" w:hAnsi="Arial"/>
          <w:color w:val="1E293B"/>
          <w:sz w:val="22"/>
          <w:szCs w:val="22"/>
        </w:rPr>
        <w:t xml:space="preserve">Profitability sub-score (30 pts): ROE, ROCE, margin trends, FCF growth</w:t>
      </w:r>
    </w:p>
    <w:p>
      <w:pPr>
        <w:pStyle w:val="ListParagraph"/>
        <w:numPr>
          <w:ilvl w:val="0"/>
          <w:numId w:val="2"/>
        </w:numPr>
        <w:spacing w:before="60" w:after="60"/>
      </w:pPr>
      <w:r>
        <w:rPr>
          <w:rFonts w:ascii="Arial" w:cs="Arial" w:eastAsia="Arial" w:hAnsi="Arial"/>
          <w:color w:val="1E293B"/>
          <w:sz w:val="22"/>
          <w:szCs w:val="22"/>
        </w:rPr>
        <w:t xml:space="preserve">Valuation sub-score (25 pts): P/E vs sector, PEG, EV/EBITDA, P/B</w:t>
      </w:r>
    </w:p>
    <w:p>
      <w:pPr>
        <w:pStyle w:val="ListParagraph"/>
        <w:numPr>
          <w:ilvl w:val="0"/>
          <w:numId w:val="2"/>
        </w:numPr>
        <w:spacing w:before="60" w:after="60"/>
      </w:pPr>
      <w:r>
        <w:rPr>
          <w:rFonts w:ascii="Arial" w:cs="Arial" w:eastAsia="Arial" w:hAnsi="Arial"/>
          <w:color w:val="1E293B"/>
          <w:sz w:val="22"/>
          <w:szCs w:val="22"/>
        </w:rPr>
        <w:t xml:space="preserve">Liquidity sub-score (20 pts): Current ratio, quick ratio, cash position</w:t>
      </w:r>
    </w:p>
    <w:p>
      <w:pPr>
        <w:pStyle w:val="ListParagraph"/>
        <w:numPr>
          <w:ilvl w:val="0"/>
          <w:numId w:val="2"/>
        </w:numPr>
        <w:spacing w:before="60" w:after="60"/>
      </w:pPr>
      <w:r>
        <w:rPr>
          <w:rFonts w:ascii="Arial" w:cs="Arial" w:eastAsia="Arial" w:hAnsi="Arial"/>
          <w:color w:val="1E293B"/>
          <w:sz w:val="22"/>
          <w:szCs w:val="22"/>
        </w:rPr>
        <w:t xml:space="preserve">Leverage sub-score (15 pts): D/E, interest coverage, debt/EBITDA</w:t>
      </w:r>
    </w:p>
    <w:p>
      <w:pPr>
        <w:pStyle w:val="ListParagraph"/>
        <w:numPr>
          <w:ilvl w:val="0"/>
          <w:numId w:val="2"/>
        </w:numPr>
        <w:spacing w:before="60" w:after="60"/>
      </w:pPr>
      <w:r>
        <w:rPr>
          <w:rFonts w:ascii="Arial" w:cs="Arial" w:eastAsia="Arial" w:hAnsi="Arial"/>
          <w:color w:val="1E293B"/>
          <w:sz w:val="22"/>
          <w:szCs w:val="22"/>
        </w:rPr>
        <w:t xml:space="preserve">Efficiency sub-score (10 pts): Asset turnover, DSO trend, FCF conversion</w:t>
      </w:r>
    </w:p>
    <w:p>
      <w:pPr>
        <w:pStyle w:val="Heading2"/>
        <w:spacing w:before="320" w:after="160"/>
      </w:pPr>
      <w:r>
        <w:rPr>
          <w:rFonts w:ascii="Arial" w:cs="Arial" w:eastAsia="Arial" w:hAnsi="Arial"/>
          <w:b/>
          <w:bCs/>
          <w:color w:val="2563EB"/>
          <w:sz w:val="28"/>
          <w:szCs w:val="28"/>
        </w:rPr>
        <w:t xml:space="preserve">Output Schema — data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Field</w:t>
            </w:r>
          </w:p>
        </w:tc>
        <w:tc>
          <w:tcPr>
            <w:tcW w:type="dxa" w:w="2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45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fundamental_score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 (0–100)</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Composite fundamental quality score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pe_ratio</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Current P/E with sector median for comparison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roe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Return on equity (%)</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roce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Return on capital employed (%)</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debt_equity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Debt-to-equity ratio</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fcf_yield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Free cash flow yield (%)</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revenue_growth_yoy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Year-on-year revenue growth (%)</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eps_growth_yoy</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Year-on-year EPS growth (%)</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net_margin</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Net profit margin (%)</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interest_coverage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EBIT / Interest expense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valuation_verdict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'overvalued' | 'fair_value' | 'undervalued'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ratio_breakdown</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object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key ratio table for display</w:t>
            </w:r>
          </w:p>
        </w:tc>
      </w:tr>
    </w:tbl>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160"/>
              <w:left w:type="dxa" w:w="240"/>
              <w:bottom w:type="dxa" w:w="160"/>
              <w:right w:type="dxa" w:w="240"/>
            </w:tcMar>
          </w:tcPr>
          <w:p>
            <w:pPr>
              <w:spacing w:before="40" w:after="40"/>
            </w:pPr>
            <w:r>
              <w:rPr>
                <w:rFonts w:ascii="Arial" w:cs="Arial" w:eastAsia="Arial" w:hAnsi="Arial"/>
                <w:b/>
                <w:bCs/>
                <w:color w:val="FFFFFF"/>
                <w:sz w:val="32"/>
                <w:szCs w:val="32"/>
              </w:rPr>
              <w:t xml:space="preserve">⚡  Agent 5: PEAD Agent</w:t>
            </w:r>
          </w:p>
          <w:p>
            <w:pPr>
              <w:spacing w:before="20" w:after="40"/>
            </w:pPr>
            <w:r>
              <w:rPr>
                <w:rFonts w:ascii="Arial" w:cs="Arial" w:eastAsia="Arial" w:hAnsi="Arial"/>
                <w:i/>
                <w:iCs/>
                <w:color w:val="BFDBFE"/>
                <w:sz w:val="20"/>
                <w:szCs w:val="20"/>
              </w:rPr>
              <w:t xml:space="preserve">Post-Earnings Announcement Drift Analysis</w:t>
            </w:r>
          </w:p>
        </w:tc>
      </w:tr>
    </w:tbl>
    <w:p>
      <w:pPr>
        <w:spacing w:before="200" w:after="100"/>
      </w:pPr>
    </w:p>
    <w:p>
      <w:pPr>
        <w:pStyle w:val="Heading2"/>
        <w:spacing w:before="320" w:after="160"/>
      </w:pPr>
      <w:r>
        <w:rPr>
          <w:rFonts w:ascii="Arial" w:cs="Arial" w:eastAsia="Arial" w:hAnsi="Arial"/>
          <w:b/>
          <w:bCs/>
          <w:color w:val="2563EB"/>
          <w:sz w:val="28"/>
          <w:szCs w:val="28"/>
        </w:rPr>
        <w:t xml:space="preserve">Purpose</w:t>
      </w:r>
    </w:p>
    <w:p>
      <w:pPr>
        <w:spacing w:before="80" w:after="100"/>
      </w:pPr>
      <w:r>
        <w:rPr>
          <w:rFonts w:ascii="Arial" w:cs="Arial" w:eastAsia="Arial" w:hAnsi="Arial"/>
          <w:color w:val="1E293B"/>
          <w:sz w:val="22"/>
          <w:szCs w:val="22"/>
        </w:rPr>
        <w:t xml:space="preserve">PEAD (Post-Earnings Announcement Drift) is a well-documented market anomaly: stocks that beat earnings estimates tend to continue drifting in the direction of the surprise for 30–90 days post-announcement. This agent quantifies the earnings surprise and predicts the expected drift magnitude and direction.</w:t>
      </w:r>
    </w:p>
    <w:p>
      <w:pPr>
        <w:pStyle w:val="Heading2"/>
        <w:spacing w:before="320" w:after="160"/>
      </w:pPr>
      <w:r>
        <w:rPr>
          <w:rFonts w:ascii="Arial" w:cs="Arial" w:eastAsia="Arial" w:hAnsi="Arial"/>
          <w:b/>
          <w:bCs/>
          <w:color w:val="2563EB"/>
          <w:sz w:val="28"/>
          <w:szCs w:val="28"/>
        </w:rPr>
        <w:t xml:space="preserve">Data Sources</w:t>
      </w:r>
    </w:p>
    <w:p>
      <w:pPr>
        <w:pStyle w:val="ListParagraph"/>
        <w:numPr>
          <w:ilvl w:val="0"/>
          <w:numId w:val="2"/>
        </w:numPr>
        <w:spacing w:before="60" w:after="60"/>
      </w:pPr>
      <w:r>
        <w:rPr>
          <w:rFonts w:ascii="Arial" w:cs="Arial" w:eastAsia="Arial" w:hAnsi="Arial"/>
          <w:color w:val="1E293B"/>
          <w:sz w:val="22"/>
          <w:szCs w:val="22"/>
        </w:rPr>
        <w:t xml:space="preserve">Earnings calendar + actuals: Finnhub (/stock/earnings endpoint), Alpha Vantage EARNINGS</w:t>
      </w:r>
    </w:p>
    <w:p>
      <w:pPr>
        <w:pStyle w:val="ListParagraph"/>
        <w:numPr>
          <w:ilvl w:val="0"/>
          <w:numId w:val="2"/>
        </w:numPr>
        <w:spacing w:before="60" w:after="60"/>
      </w:pPr>
      <w:r>
        <w:rPr>
          <w:rFonts w:ascii="Arial" w:cs="Arial" w:eastAsia="Arial" w:hAnsi="Arial"/>
          <w:color w:val="1E293B"/>
          <w:sz w:val="22"/>
          <w:szCs w:val="22"/>
        </w:rPr>
        <w:t xml:space="preserve">Analyst EPS estimates: Yahoo Finance, FMP API, Refinitiv (if available)</w:t>
      </w:r>
    </w:p>
    <w:p>
      <w:pPr>
        <w:pStyle w:val="ListParagraph"/>
        <w:numPr>
          <w:ilvl w:val="0"/>
          <w:numId w:val="2"/>
        </w:numPr>
        <w:spacing w:before="60" w:after="60"/>
      </w:pPr>
      <w:r>
        <w:rPr>
          <w:rFonts w:ascii="Arial" w:cs="Arial" w:eastAsia="Arial" w:hAnsi="Arial"/>
          <w:color w:val="1E293B"/>
          <w:sz w:val="22"/>
          <w:szCs w:val="22"/>
        </w:rPr>
        <w:t xml:space="preserve">Historical earnings surprises: Required to compute the surprise standard deviation for normalisation</w:t>
      </w:r>
    </w:p>
    <w:p>
      <w:pPr>
        <w:pStyle w:val="ListParagraph"/>
        <w:numPr>
          <w:ilvl w:val="0"/>
          <w:numId w:val="2"/>
        </w:numPr>
        <w:spacing w:before="60" w:after="60"/>
      </w:pPr>
      <w:r>
        <w:rPr>
          <w:rFonts w:ascii="Arial" w:cs="Arial" w:eastAsia="Arial" w:hAnsi="Arial"/>
          <w:color w:val="1E293B"/>
          <w:sz w:val="22"/>
          <w:szCs w:val="22"/>
        </w:rPr>
        <w:t xml:space="preserve">Post-earnings stock returns (historical): For drift magnitude calibration — download from yfinance and align with earnings dates</w:t>
      </w:r>
    </w:p>
    <w:p>
      <w:pPr>
        <w:pStyle w:val="Heading2"/>
        <w:spacing w:before="320" w:after="160"/>
      </w:pPr>
      <w:r>
        <w:rPr>
          <w:rFonts w:ascii="Arial" w:cs="Arial" w:eastAsia="Arial" w:hAnsi="Arial"/>
          <w:b/>
          <w:bCs/>
          <w:color w:val="2563EB"/>
          <w:sz w:val="28"/>
          <w:szCs w:val="28"/>
        </w:rPr>
        <w:t xml:space="preserve">Core Algorithm: SUE (Standardised Unexpected Earnings)</w:t>
      </w:r>
    </w:p>
    <w:p>
      <w:pPr>
        <w:spacing w:before="80" w:after="100"/>
      </w:pPr>
      <w:r>
        <w:rPr>
          <w:rFonts w:ascii="Arial" w:cs="Arial" w:eastAsia="Arial" w:hAnsi="Arial"/>
          <w:color w:val="1E293B"/>
          <w:sz w:val="22"/>
          <w:szCs w:val="22"/>
        </w:rPr>
        <w:t xml:space="preserve">SUE is the primary signal. It standardises the earnings surprise relative to its historical volatility, making it comparable across companies and time 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00"/>
              <w:bottom w:type="dxa" w:w="80"/>
              <w:right w:type="dxa" w:w="200"/>
            </w:tcMar>
          </w:tcPr>
          <w:p>
            <w:pPr>
              <w:spacing w:before="60" w:after="80"/>
            </w:pPr>
            <w:r>
              <w:rPr>
                <w:rFonts w:ascii="Arial" w:cs="Arial" w:eastAsia="Arial" w:hAnsi="Arial"/>
                <w:b/>
                <w:bCs/>
                <w:color w:val="166534"/>
                <w:sz w:val="22"/>
                <w:szCs w:val="22"/>
              </w:rPr>
              <w:t xml:space="preserve">SUE Formula</w:t>
            </w:r>
          </w:p>
          <w:p>
            <w:pPr>
              <w:spacing w:before="40" w:after="40"/>
            </w:pPr>
            <w:r>
              <w:rPr>
                <w:rFonts w:ascii="Arial" w:cs="Arial" w:eastAsia="Arial" w:hAnsi="Arial"/>
                <w:color w:val="1E293B"/>
                <w:sz w:val="20"/>
                <w:szCs w:val="20"/>
              </w:rPr>
              <w:t xml:space="preserve">SUE = (Actual EPS − Estimated EPS) / σ(Forecast Error)</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Where σ(Forecast Error) is the standard deviation of the forecast errors from the last 8 quarters.</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Interpretation:</w:t>
            </w:r>
          </w:p>
          <w:p>
            <w:pPr>
              <w:spacing w:before="40" w:after="40"/>
            </w:pPr>
            <w:r>
              <w:rPr>
                <w:rFonts w:ascii="Arial" w:cs="Arial" w:eastAsia="Arial" w:hAnsi="Arial"/>
                <w:color w:val="1E293B"/>
                <w:sz w:val="20"/>
                <w:szCs w:val="20"/>
              </w:rPr>
              <w:t xml:space="preserve">  SUE &gt; +2.0  → Strong positive surprise → Strong upward drift signal</w:t>
            </w:r>
          </w:p>
          <w:p>
            <w:pPr>
              <w:spacing w:before="40" w:after="40"/>
            </w:pPr>
            <w:r>
              <w:rPr>
                <w:rFonts w:ascii="Arial" w:cs="Arial" w:eastAsia="Arial" w:hAnsi="Arial"/>
                <w:color w:val="1E293B"/>
                <w:sz w:val="20"/>
                <w:szCs w:val="20"/>
              </w:rPr>
              <w:t xml:space="preserve">  SUE 1.0–2.0 → Moderate positive surprise → Moderate upward drift</w:t>
            </w:r>
          </w:p>
          <w:p>
            <w:pPr>
              <w:spacing w:before="40" w:after="40"/>
            </w:pPr>
            <w:r>
              <w:rPr>
                <w:rFonts w:ascii="Arial" w:cs="Arial" w:eastAsia="Arial" w:hAnsi="Arial"/>
                <w:color w:val="1E293B"/>
                <w:sz w:val="20"/>
                <w:szCs w:val="20"/>
              </w:rPr>
              <w:t xml:space="preserve">  SUE -1.0 to +1.0 → In-line → Negligible drift</w:t>
            </w:r>
          </w:p>
          <w:p>
            <w:pPr>
              <w:spacing w:before="40" w:after="40"/>
            </w:pPr>
            <w:r>
              <w:rPr>
                <w:rFonts w:ascii="Arial" w:cs="Arial" w:eastAsia="Arial" w:hAnsi="Arial"/>
                <w:color w:val="1E293B"/>
                <w:sz w:val="20"/>
                <w:szCs w:val="20"/>
              </w:rPr>
              <w:t xml:space="preserve">  SUE &lt; -2.0 → Strong negative surprise → Significant downward drift</w:t>
            </w:r>
          </w:p>
        </w:tc>
      </w:tr>
    </w:tbl>
    <w:p>
      <w:pPr>
        <w:spacing w:before="160" w:after="80"/>
      </w:pPr>
    </w:p>
    <w:p>
      <w:pPr>
        <w:pStyle w:val="Heading3"/>
        <w:spacing w:before="240" w:after="120"/>
      </w:pPr>
      <w:r>
        <w:rPr>
          <w:rFonts w:ascii="Arial" w:cs="Arial" w:eastAsia="Arial" w:hAnsi="Arial"/>
          <w:b/>
          <w:bCs/>
          <w:color w:val="1E3A5F"/>
          <w:sz w:val="24"/>
          <w:szCs w:val="24"/>
        </w:rPr>
        <w:t xml:space="preserve">Step 1: Earnings Surprise Calculation</w:t>
      </w:r>
    </w:p>
    <w:p>
      <w:pPr>
        <w:pStyle w:val="ListParagraph"/>
        <w:numPr>
          <w:ilvl w:val="0"/>
          <w:numId w:val="2"/>
        </w:numPr>
        <w:spacing w:before="60" w:after="60"/>
      </w:pPr>
      <w:r>
        <w:rPr>
          <w:rFonts w:ascii="Arial" w:cs="Arial" w:eastAsia="Arial" w:hAnsi="Arial"/>
          <w:color w:val="1E293B"/>
          <w:sz w:val="22"/>
          <w:szCs w:val="22"/>
        </w:rPr>
        <w:t xml:space="preserve">Fetch last 8 quarters of EPS actual vs consensus estimate</w:t>
      </w:r>
    </w:p>
    <w:p>
      <w:pPr>
        <w:pStyle w:val="ListParagraph"/>
        <w:numPr>
          <w:ilvl w:val="0"/>
          <w:numId w:val="2"/>
        </w:numPr>
        <w:spacing w:before="60" w:after="60"/>
      </w:pPr>
      <w:r>
        <w:rPr>
          <w:rFonts w:ascii="Arial" w:cs="Arial" w:eastAsia="Arial" w:hAnsi="Arial"/>
          <w:color w:val="1E293B"/>
          <w:sz w:val="22"/>
          <w:szCs w:val="22"/>
        </w:rPr>
        <w:t xml:space="preserve">Compute surprise_pct = (actual − estimate) / abs(estimate) × 100</w:t>
      </w:r>
    </w:p>
    <w:p>
      <w:pPr>
        <w:pStyle w:val="ListParagraph"/>
        <w:numPr>
          <w:ilvl w:val="0"/>
          <w:numId w:val="2"/>
        </w:numPr>
        <w:spacing w:before="60" w:after="60"/>
      </w:pPr>
      <w:r>
        <w:rPr>
          <w:rFonts w:ascii="Arial" w:cs="Arial" w:eastAsia="Arial" w:hAnsi="Arial"/>
          <w:color w:val="1E293B"/>
          <w:sz w:val="22"/>
          <w:szCs w:val="22"/>
        </w:rPr>
        <w:t xml:space="preserve">Compute standard deviation of last 8 surprise_pct values = σ</w:t>
      </w:r>
    </w:p>
    <w:p>
      <w:pPr>
        <w:pStyle w:val="ListParagraph"/>
        <w:numPr>
          <w:ilvl w:val="0"/>
          <w:numId w:val="2"/>
        </w:numPr>
        <w:spacing w:before="60" w:after="60"/>
      </w:pPr>
      <w:r>
        <w:rPr>
          <w:rFonts w:ascii="Arial" w:cs="Arial" w:eastAsia="Arial" w:hAnsi="Arial"/>
          <w:color w:val="1E293B"/>
          <w:sz w:val="22"/>
          <w:szCs w:val="22"/>
        </w:rPr>
        <w:t xml:space="preserve">SUE = surprise_pct_current / σ</w:t>
      </w:r>
    </w:p>
    <w:p>
      <w:pPr>
        <w:pStyle w:val="Heading3"/>
        <w:spacing w:before="240" w:after="120"/>
      </w:pPr>
      <w:r>
        <w:rPr>
          <w:rFonts w:ascii="Arial" w:cs="Arial" w:eastAsia="Arial" w:hAnsi="Arial"/>
          <w:b/>
          <w:bCs/>
          <w:color w:val="1E3A5F"/>
          <w:sz w:val="24"/>
          <w:szCs w:val="24"/>
        </w:rPr>
        <w:t xml:space="preserve">Step 2: Drift Magnitude Estimation</w:t>
      </w:r>
    </w:p>
    <w:p>
      <w:pPr>
        <w:spacing w:before="80" w:after="100"/>
      </w:pPr>
      <w:r>
        <w:rPr>
          <w:rFonts w:ascii="Arial" w:cs="Arial" w:eastAsia="Arial" w:hAnsi="Arial"/>
          <w:color w:val="1E293B"/>
          <w:sz w:val="22"/>
          <w:szCs w:val="22"/>
        </w:rPr>
        <w:t xml:space="preserve">Use a regression model trained on historical PEAD data (academic literature baseline from Bernard &amp; Thomas 1989, updated with recent data): Expected drift (30 days) ≈ 1.5% × SUE for Indian large-caps. This coefficient must be calibrated on your own historical dataset.</w:t>
      </w:r>
    </w:p>
    <w:p>
      <w:pPr>
        <w:pStyle w:val="ListParagraph"/>
        <w:numPr>
          <w:ilvl w:val="0"/>
          <w:numId w:val="2"/>
        </w:numPr>
        <w:spacing w:before="60" w:after="60"/>
      </w:pPr>
      <w:r>
        <w:rPr>
          <w:rFonts w:ascii="Arial" w:cs="Arial" w:eastAsia="Arial" w:hAnsi="Arial"/>
          <w:color w:val="1E293B"/>
          <w:sz w:val="22"/>
          <w:szCs w:val="22"/>
        </w:rPr>
        <w:t xml:space="preserve">Positive SUE → expected_drift_30d = +1.5% × SUE (approximately)</w:t>
      </w:r>
    </w:p>
    <w:p>
      <w:pPr>
        <w:pStyle w:val="ListParagraph"/>
        <w:numPr>
          <w:ilvl w:val="0"/>
          <w:numId w:val="2"/>
        </w:numPr>
        <w:spacing w:before="60" w:after="60"/>
      </w:pPr>
      <w:r>
        <w:rPr>
          <w:rFonts w:ascii="Arial" w:cs="Arial" w:eastAsia="Arial" w:hAnsi="Arial"/>
          <w:color w:val="1E293B"/>
          <w:sz w:val="22"/>
          <w:szCs w:val="22"/>
        </w:rPr>
        <w:t xml:space="preserve">Negative SUE → expected_drift_30d = −1.5% × SUE (approximately)</w:t>
      </w:r>
    </w:p>
    <w:p>
      <w:pPr>
        <w:pStyle w:val="ListParagraph"/>
        <w:numPr>
          <w:ilvl w:val="0"/>
          <w:numId w:val="2"/>
        </w:numPr>
        <w:spacing w:before="60" w:after="60"/>
      </w:pPr>
      <w:r>
        <w:rPr>
          <w:rFonts w:ascii="Arial" w:cs="Arial" w:eastAsia="Arial" w:hAnsi="Arial"/>
          <w:color w:val="1E293B"/>
          <w:sz w:val="22"/>
          <w:szCs w:val="22"/>
        </w:rPr>
        <w:t xml:space="preserve">Drift confidence decays after 60 days — this agent is most relevant within 45 days of earnings</w:t>
      </w:r>
    </w:p>
    <w:p>
      <w:pPr>
        <w:pStyle w:val="Heading3"/>
        <w:spacing w:before="240" w:after="120"/>
      </w:pPr>
      <w:r>
        <w:rPr>
          <w:rFonts w:ascii="Arial" w:cs="Arial" w:eastAsia="Arial" w:hAnsi="Arial"/>
          <w:b/>
          <w:bCs/>
          <w:color w:val="1E3A5F"/>
          <w:sz w:val="24"/>
          <w:szCs w:val="24"/>
        </w:rPr>
        <w:t xml:space="preserve">Step 3: Time Decay Logic</w:t>
      </w:r>
    </w:p>
    <w:p>
      <w:pPr>
        <w:pStyle w:val="ListParagraph"/>
        <w:numPr>
          <w:ilvl w:val="0"/>
          <w:numId w:val="2"/>
        </w:numPr>
        <w:spacing w:before="60" w:after="60"/>
      </w:pPr>
      <w:r>
        <w:rPr>
          <w:rFonts w:ascii="Arial" w:cs="Arial" w:eastAsia="Arial" w:hAnsi="Arial"/>
          <w:color w:val="1E293B"/>
          <w:sz w:val="22"/>
          <w:szCs w:val="22"/>
        </w:rPr>
        <w:t xml:space="preserve">Days since earnings &lt; 15: PEAD signal is STRONG, full weight</w:t>
      </w:r>
    </w:p>
    <w:p>
      <w:pPr>
        <w:pStyle w:val="ListParagraph"/>
        <w:numPr>
          <w:ilvl w:val="0"/>
          <w:numId w:val="2"/>
        </w:numPr>
        <w:spacing w:before="60" w:after="60"/>
      </w:pPr>
      <w:r>
        <w:rPr>
          <w:rFonts w:ascii="Arial" w:cs="Arial" w:eastAsia="Arial" w:hAnsi="Arial"/>
          <w:color w:val="1E293B"/>
          <w:sz w:val="22"/>
          <w:szCs w:val="22"/>
        </w:rPr>
        <w:t xml:space="preserve">Days since earnings 15–45: PEAD signal is MODERATE, 0.7x weight</w:t>
      </w:r>
    </w:p>
    <w:p>
      <w:pPr>
        <w:pStyle w:val="ListParagraph"/>
        <w:numPr>
          <w:ilvl w:val="0"/>
          <w:numId w:val="2"/>
        </w:numPr>
        <w:spacing w:before="60" w:after="60"/>
      </w:pPr>
      <w:r>
        <w:rPr>
          <w:rFonts w:ascii="Arial" w:cs="Arial" w:eastAsia="Arial" w:hAnsi="Arial"/>
          <w:color w:val="1E293B"/>
          <w:sz w:val="22"/>
          <w:szCs w:val="22"/>
        </w:rPr>
        <w:t xml:space="preserve">Days since earnings 45–90: PEAD signal is WEAK, 0.4x weight</w:t>
      </w:r>
    </w:p>
    <w:p>
      <w:pPr>
        <w:pStyle w:val="ListParagraph"/>
        <w:numPr>
          <w:ilvl w:val="0"/>
          <w:numId w:val="2"/>
        </w:numPr>
        <w:spacing w:before="60" w:after="60"/>
      </w:pPr>
      <w:r>
        <w:rPr>
          <w:rFonts w:ascii="Arial" w:cs="Arial" w:eastAsia="Arial" w:hAnsi="Arial"/>
          <w:color w:val="1E293B"/>
          <w:sz w:val="22"/>
          <w:szCs w:val="22"/>
        </w:rPr>
        <w:t xml:space="preserve">Days since earnings &gt; 90: PEAD signal is EXPIRED, set confidence = 0.1, flag as stale</w:t>
      </w:r>
    </w:p>
    <w:p>
      <w:pPr>
        <w:pStyle w:val="Heading2"/>
        <w:spacing w:before="320" w:after="160"/>
      </w:pPr>
      <w:r>
        <w:rPr>
          <w:rFonts w:ascii="Arial" w:cs="Arial" w:eastAsia="Arial" w:hAnsi="Arial"/>
          <w:b/>
          <w:bCs/>
          <w:color w:val="2563EB"/>
          <w:sz w:val="28"/>
          <w:szCs w:val="28"/>
        </w:rPr>
        <w:t xml:space="preserve">Output Schema — data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Field</w:t>
            </w:r>
          </w:p>
        </w:tc>
        <w:tc>
          <w:tcPr>
            <w:tcW w:type="dxa" w:w="2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45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sue_score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Standardised Unexpected Earnings score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earnings_surprise_pct</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Raw EPS surprise as percentage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actual_eps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Reported EPS for most recent quarter</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estimated_eps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Analyst consensus estimate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days_since_earnings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Number of days since the earnings announcement</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expected_drift_30d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Predicted 30-day price drift percentage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expected_drift_60d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Predicted 60-day price drift percentage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drift_direction</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'up' | 'down' | 'neutral'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historical_sue_trend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array[8]</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SUE values for last 8 quarters (for trend analysis)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signal_expiry_flag</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bool</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True if &gt; 90 days since earnings (signal largely expired)</w:t>
            </w:r>
          </w:p>
        </w:tc>
      </w:tr>
    </w:tbl>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160"/>
              <w:left w:type="dxa" w:w="240"/>
              <w:bottom w:type="dxa" w:w="160"/>
              <w:right w:type="dxa" w:w="240"/>
            </w:tcMar>
          </w:tcPr>
          <w:p>
            <w:pPr>
              <w:spacing w:before="40" w:after="40"/>
            </w:pPr>
            <w:r>
              <w:rPr>
                <w:rFonts w:ascii="Arial" w:cs="Arial" w:eastAsia="Arial" w:hAnsi="Arial"/>
                <w:b/>
                <w:bCs/>
                <w:color w:val="FFFFFF"/>
                <w:sz w:val="32"/>
                <w:szCs w:val="32"/>
              </w:rPr>
              <w:t xml:space="preserve">🧠  Agent 6: Insider Agent</w:t>
            </w:r>
          </w:p>
          <w:p>
            <w:pPr>
              <w:spacing w:before="20" w:after="40"/>
            </w:pPr>
            <w:r>
              <w:rPr>
                <w:rFonts w:ascii="Arial" w:cs="Arial" w:eastAsia="Arial" w:hAnsi="Arial"/>
                <w:i/>
                <w:iCs/>
                <w:color w:val="BFDBFE"/>
                <w:sz w:val="20"/>
                <w:szCs w:val="20"/>
              </w:rPr>
              <w:t xml:space="preserve">Insider Transactions &amp; Institutional Flow Analysis</w:t>
            </w:r>
          </w:p>
        </w:tc>
      </w:tr>
    </w:tbl>
    <w:p>
      <w:pPr>
        <w:spacing w:before="200" w:after="100"/>
      </w:pPr>
    </w:p>
    <w:p>
      <w:pPr>
        <w:pStyle w:val="Heading2"/>
        <w:spacing w:before="320" w:after="160"/>
      </w:pPr>
      <w:r>
        <w:rPr>
          <w:rFonts w:ascii="Arial" w:cs="Arial" w:eastAsia="Arial" w:hAnsi="Arial"/>
          <w:b/>
          <w:bCs/>
          <w:color w:val="2563EB"/>
          <w:sz w:val="28"/>
          <w:szCs w:val="28"/>
        </w:rPr>
        <w:t xml:space="preserve">Purpose</w:t>
      </w:r>
    </w:p>
    <w:p>
      <w:pPr>
        <w:spacing w:before="80" w:after="100"/>
      </w:pPr>
      <w:r>
        <w:rPr>
          <w:rFonts w:ascii="Arial" w:cs="Arial" w:eastAsia="Arial" w:hAnsi="Arial"/>
          <w:color w:val="1E293B"/>
          <w:sz w:val="22"/>
          <w:szCs w:val="22"/>
        </w:rPr>
        <w:t xml:space="preserve">Insiders (promoters, directors, key managerial personnel) have access to non-public information. Their buying activity is one of the strongest known signals for forward stock performance. This agent tracks both insider transactions and institutional (FII/DII) flow.</w:t>
      </w:r>
    </w:p>
    <w:p>
      <w:pPr>
        <w:pStyle w:val="Heading2"/>
        <w:spacing w:before="320" w:after="160"/>
      </w:pPr>
      <w:r>
        <w:rPr>
          <w:rFonts w:ascii="Arial" w:cs="Arial" w:eastAsia="Arial" w:hAnsi="Arial"/>
          <w:b/>
          <w:bCs/>
          <w:color w:val="2563EB"/>
          <w:sz w:val="28"/>
          <w:szCs w:val="28"/>
        </w:rPr>
        <w:t xml:space="preserve">Data Sources</w:t>
      </w:r>
    </w:p>
    <w:p>
      <w:pPr>
        <w:pStyle w:val="ListParagraph"/>
        <w:numPr>
          <w:ilvl w:val="0"/>
          <w:numId w:val="2"/>
        </w:numPr>
        <w:spacing w:before="60" w:after="60"/>
      </w:pPr>
      <w:r>
        <w:rPr>
          <w:rFonts w:ascii="Arial" w:cs="Arial" w:eastAsia="Arial" w:hAnsi="Arial"/>
          <w:color w:val="1E293B"/>
          <w:sz w:val="22"/>
          <w:szCs w:val="22"/>
        </w:rPr>
        <w:t xml:space="preserve">NSE insider trading disclosures: nseindia.com/api/corporates-pit (bulk upload data under SEBI PIT regulations)</w:t>
      </w:r>
    </w:p>
    <w:p>
      <w:pPr>
        <w:pStyle w:val="ListParagraph"/>
        <w:numPr>
          <w:ilvl w:val="0"/>
          <w:numId w:val="2"/>
        </w:numPr>
        <w:spacing w:before="60" w:after="60"/>
      </w:pPr>
      <w:r>
        <w:rPr>
          <w:rFonts w:ascii="Arial" w:cs="Arial" w:eastAsia="Arial" w:hAnsi="Arial"/>
          <w:color w:val="1E293B"/>
          <w:sz w:val="22"/>
          <w:szCs w:val="22"/>
        </w:rPr>
        <w:t xml:space="preserve">BSE insider trading: bseindia.com/xml-data/corpfiling/ under 'Insider Trading'</w:t>
      </w:r>
    </w:p>
    <w:p>
      <w:pPr>
        <w:pStyle w:val="ListParagraph"/>
        <w:numPr>
          <w:ilvl w:val="0"/>
          <w:numId w:val="2"/>
        </w:numPr>
        <w:spacing w:before="60" w:after="60"/>
      </w:pPr>
      <w:r>
        <w:rPr>
          <w:rFonts w:ascii="Arial" w:cs="Arial" w:eastAsia="Arial" w:hAnsi="Arial"/>
          <w:color w:val="1E293B"/>
          <w:sz w:val="22"/>
          <w:szCs w:val="22"/>
        </w:rPr>
        <w:t xml:space="preserve">FII/DII daily activity: NSE/BSE daily bulk deals and block deals CSV files</w:t>
      </w:r>
    </w:p>
    <w:p>
      <w:pPr>
        <w:pStyle w:val="ListParagraph"/>
        <w:numPr>
          <w:ilvl w:val="0"/>
          <w:numId w:val="2"/>
        </w:numPr>
        <w:spacing w:before="60" w:after="60"/>
      </w:pPr>
      <w:r>
        <w:rPr>
          <w:rFonts w:ascii="Arial" w:cs="Arial" w:eastAsia="Arial" w:hAnsi="Arial"/>
          <w:color w:val="1E293B"/>
          <w:sz w:val="22"/>
          <w:szCs w:val="22"/>
        </w:rPr>
        <w:t xml:space="preserve">US stocks: SEC Form 4 filings via EDGAR (sec.gov/cgi-bin/browse-edgar)</w:t>
      </w:r>
    </w:p>
    <w:p>
      <w:pPr>
        <w:pStyle w:val="ListParagraph"/>
        <w:numPr>
          <w:ilvl w:val="0"/>
          <w:numId w:val="2"/>
        </w:numPr>
        <w:spacing w:before="60" w:after="60"/>
      </w:pPr>
      <w:r>
        <w:rPr>
          <w:rFonts w:ascii="Arial" w:cs="Arial" w:eastAsia="Arial" w:hAnsi="Arial"/>
          <w:color w:val="1E293B"/>
          <w:sz w:val="22"/>
          <w:szCs w:val="22"/>
        </w:rPr>
        <w:t xml:space="preserve">OpenInsider.com or Finviz for pre-parsed US insider data</w:t>
      </w:r>
    </w:p>
    <w:p>
      <w:pPr>
        <w:pStyle w:val="Heading2"/>
        <w:spacing w:before="320" w:after="160"/>
      </w:pPr>
      <w:r>
        <w:rPr>
          <w:rFonts w:ascii="Arial" w:cs="Arial" w:eastAsia="Arial" w:hAnsi="Arial"/>
          <w:b/>
          <w:bCs/>
          <w:color w:val="2563EB"/>
          <w:sz w:val="28"/>
          <w:szCs w:val="28"/>
        </w:rPr>
        <w:t xml:space="preserve">Algorithms &amp; Logic</w:t>
      </w:r>
    </w:p>
    <w:p>
      <w:pPr>
        <w:pStyle w:val="Heading3"/>
        <w:spacing w:before="240" w:after="120"/>
      </w:pPr>
      <w:r>
        <w:rPr>
          <w:rFonts w:ascii="Arial" w:cs="Arial" w:eastAsia="Arial" w:hAnsi="Arial"/>
          <w:b/>
          <w:bCs/>
          <w:color w:val="1E3A5F"/>
          <w:sz w:val="24"/>
          <w:szCs w:val="24"/>
        </w:rPr>
        <w:t xml:space="preserve">Step 1: Transaction Classification</w:t>
      </w:r>
    </w:p>
    <w:p>
      <w:pPr>
        <w:pStyle w:val="ListParagraph"/>
        <w:numPr>
          <w:ilvl w:val="0"/>
          <w:numId w:val="2"/>
        </w:numPr>
        <w:spacing w:before="60" w:after="60"/>
      </w:pPr>
      <w:r>
        <w:rPr>
          <w:rFonts w:ascii="Arial" w:cs="Arial" w:eastAsia="Arial" w:hAnsi="Arial"/>
          <w:color w:val="1E293B"/>
          <w:sz w:val="22"/>
          <w:szCs w:val="22"/>
        </w:rPr>
        <w:t xml:space="preserve">Buy vs Sell classification: Only cluster purchases as bullish signal (sales may be for personal liquidity reasons)</w:t>
      </w:r>
    </w:p>
    <w:p>
      <w:pPr>
        <w:pStyle w:val="ListParagraph"/>
        <w:numPr>
          <w:ilvl w:val="0"/>
          <w:numId w:val="2"/>
        </w:numPr>
        <w:spacing w:before="60" w:after="60"/>
      </w:pPr>
      <w:r>
        <w:rPr>
          <w:rFonts w:ascii="Arial" w:cs="Arial" w:eastAsia="Arial" w:hAnsi="Arial"/>
          <w:color w:val="1E293B"/>
          <w:sz w:val="22"/>
          <w:szCs w:val="22"/>
        </w:rPr>
        <w:t xml:space="preserve">Insider tier: Promoter/CMD/CEO buy = Tier 1 (weight 3x); Director buy = Tier 2 (weight 2x); Employee/KMP buy = Tier 3 (weight 1x)</w:t>
      </w:r>
    </w:p>
    <w:p>
      <w:pPr>
        <w:pStyle w:val="ListParagraph"/>
        <w:numPr>
          <w:ilvl w:val="0"/>
          <w:numId w:val="2"/>
        </w:numPr>
        <w:spacing w:before="60" w:after="60"/>
      </w:pPr>
      <w:r>
        <w:rPr>
          <w:rFonts w:ascii="Arial" w:cs="Arial" w:eastAsia="Arial" w:hAnsi="Arial"/>
          <w:color w:val="1E293B"/>
          <w:sz w:val="22"/>
          <w:szCs w:val="22"/>
        </w:rPr>
        <w:t xml:space="preserve">Transaction size: &gt; 0.5% of company float = significant; &gt; 0.1% = noteworthy</w:t>
      </w:r>
    </w:p>
    <w:p>
      <w:pPr>
        <w:pStyle w:val="ListParagraph"/>
        <w:numPr>
          <w:ilvl w:val="0"/>
          <w:numId w:val="2"/>
        </w:numPr>
        <w:spacing w:before="60" w:after="60"/>
      </w:pPr>
      <w:r>
        <w:rPr>
          <w:rFonts w:ascii="Arial" w:cs="Arial" w:eastAsia="Arial" w:hAnsi="Arial"/>
          <w:color w:val="1E293B"/>
          <w:sz w:val="22"/>
          <w:szCs w:val="22"/>
        </w:rPr>
        <w:t xml:space="preserve">Cluster detection: 3+ distinct insiders buying within 30 days = strong cluster buy signal</w:t>
      </w:r>
    </w:p>
    <w:p>
      <w:pPr>
        <w:pStyle w:val="Heading3"/>
        <w:spacing w:before="240" w:after="120"/>
      </w:pPr>
      <w:r>
        <w:rPr>
          <w:rFonts w:ascii="Arial" w:cs="Arial" w:eastAsia="Arial" w:hAnsi="Arial"/>
          <w:b/>
          <w:bCs/>
          <w:color w:val="1E3A5F"/>
          <w:sz w:val="24"/>
          <w:szCs w:val="24"/>
        </w:rPr>
        <w:t xml:space="preserve">Step 2: Promoter Pledge Analysis</w:t>
      </w:r>
    </w:p>
    <w:p>
      <w:pPr>
        <w:pStyle w:val="ListParagraph"/>
        <w:numPr>
          <w:ilvl w:val="0"/>
          <w:numId w:val="2"/>
        </w:numPr>
        <w:spacing w:before="60" w:after="60"/>
      </w:pPr>
      <w:r>
        <w:rPr>
          <w:rFonts w:ascii="Arial" w:cs="Arial" w:eastAsia="Arial" w:hAnsi="Arial"/>
          <w:color w:val="1E293B"/>
          <w:sz w:val="22"/>
          <w:szCs w:val="22"/>
        </w:rPr>
        <w:t xml:space="preserve">Source: BSE/NSE shareholding patterns (filed quarterly under SEBI format)</w:t>
      </w:r>
    </w:p>
    <w:p>
      <w:pPr>
        <w:pStyle w:val="ListParagraph"/>
        <w:numPr>
          <w:ilvl w:val="0"/>
          <w:numId w:val="2"/>
        </w:numPr>
        <w:spacing w:before="60" w:after="60"/>
      </w:pPr>
      <w:r>
        <w:rPr>
          <w:rFonts w:ascii="Arial" w:cs="Arial" w:eastAsia="Arial" w:hAnsi="Arial"/>
          <w:color w:val="1E293B"/>
          <w:sz w:val="22"/>
          <w:szCs w:val="22"/>
        </w:rPr>
        <w:t xml:space="preserve">Pledged shares % of total promoter holding: &gt; 25% = yellow flag; &gt; 50% = red flag</w:t>
      </w:r>
    </w:p>
    <w:p>
      <w:pPr>
        <w:pStyle w:val="ListParagraph"/>
        <w:numPr>
          <w:ilvl w:val="0"/>
          <w:numId w:val="2"/>
        </w:numPr>
        <w:spacing w:before="60" w:after="60"/>
      </w:pPr>
      <w:r>
        <w:rPr>
          <w:rFonts w:ascii="Arial" w:cs="Arial" w:eastAsia="Arial" w:hAnsi="Arial"/>
          <w:color w:val="1E293B"/>
          <w:sz w:val="22"/>
          <w:szCs w:val="22"/>
        </w:rPr>
        <w:t xml:space="preserve">Trend of pledging: Increasing pledges = bearish governance signal; decreasing = bullish</w:t>
      </w:r>
    </w:p>
    <w:p>
      <w:pPr>
        <w:pStyle w:val="ListParagraph"/>
        <w:numPr>
          <w:ilvl w:val="0"/>
          <w:numId w:val="2"/>
        </w:numPr>
        <w:spacing w:before="60" w:after="60"/>
      </w:pPr>
      <w:r>
        <w:rPr>
          <w:rFonts w:ascii="Arial" w:cs="Arial" w:eastAsia="Arial" w:hAnsi="Arial"/>
          <w:color w:val="1E293B"/>
          <w:sz w:val="22"/>
          <w:szCs w:val="22"/>
        </w:rPr>
        <w:t xml:space="preserve">In case of margin call risk: If stock is falling AND pledges are high, forced selling risk is elevated</w:t>
      </w:r>
    </w:p>
    <w:p>
      <w:pPr>
        <w:pStyle w:val="Heading3"/>
        <w:spacing w:before="240" w:after="120"/>
      </w:pPr>
      <w:r>
        <w:rPr>
          <w:rFonts w:ascii="Arial" w:cs="Arial" w:eastAsia="Arial" w:hAnsi="Arial"/>
          <w:b/>
          <w:bCs/>
          <w:color w:val="1E3A5F"/>
          <w:sz w:val="24"/>
          <w:szCs w:val="24"/>
        </w:rPr>
        <w:t xml:space="preserve">Step 3: FII/DII Flow Analysis</w:t>
      </w:r>
    </w:p>
    <w:p>
      <w:pPr>
        <w:pStyle w:val="ListParagraph"/>
        <w:numPr>
          <w:ilvl w:val="0"/>
          <w:numId w:val="2"/>
        </w:numPr>
        <w:spacing w:before="60" w:after="60"/>
      </w:pPr>
      <w:r>
        <w:rPr>
          <w:rFonts w:ascii="Arial" w:cs="Arial" w:eastAsia="Arial" w:hAnsi="Arial"/>
          <w:color w:val="1E293B"/>
          <w:sz w:val="22"/>
          <w:szCs w:val="22"/>
        </w:rPr>
        <w:t xml:space="preserve">Fetch last 30 trading days of FII (net) and DII (net) activity for the specific stock (not just market-level)</w:t>
      </w:r>
    </w:p>
    <w:p>
      <w:pPr>
        <w:pStyle w:val="ListParagraph"/>
        <w:numPr>
          <w:ilvl w:val="0"/>
          <w:numId w:val="2"/>
        </w:numPr>
        <w:spacing w:before="60" w:after="60"/>
      </w:pPr>
      <w:r>
        <w:rPr>
          <w:rFonts w:ascii="Arial" w:cs="Arial" w:eastAsia="Arial" w:hAnsi="Arial"/>
          <w:color w:val="1E293B"/>
          <w:sz w:val="22"/>
          <w:szCs w:val="22"/>
        </w:rPr>
        <w:t xml:space="preserve">Net FII buying &gt; 3 consecutive days with significant amounts = institutional accumulation</w:t>
      </w:r>
    </w:p>
    <w:p>
      <w:pPr>
        <w:pStyle w:val="ListParagraph"/>
        <w:numPr>
          <w:ilvl w:val="0"/>
          <w:numId w:val="2"/>
        </w:numPr>
        <w:spacing w:before="60" w:after="60"/>
      </w:pPr>
      <w:r>
        <w:rPr>
          <w:rFonts w:ascii="Arial" w:cs="Arial" w:eastAsia="Arial" w:hAnsi="Arial"/>
          <w:color w:val="1E293B"/>
          <w:sz w:val="22"/>
          <w:szCs w:val="22"/>
        </w:rPr>
        <w:t xml:space="preserve">FII selling combined with negative sentiment = compounding risk</w:t>
      </w:r>
    </w:p>
    <w:p>
      <w:pPr>
        <w:pStyle w:val="ListParagraph"/>
        <w:numPr>
          <w:ilvl w:val="0"/>
          <w:numId w:val="2"/>
        </w:numPr>
        <w:spacing w:before="60" w:after="60"/>
      </w:pPr>
      <w:r>
        <w:rPr>
          <w:rFonts w:ascii="Arial" w:cs="Arial" w:eastAsia="Arial" w:hAnsi="Arial"/>
          <w:color w:val="1E293B"/>
          <w:sz w:val="22"/>
          <w:szCs w:val="22"/>
        </w:rPr>
        <w:t xml:space="preserve">DII buying during FII selling often indicates domestic support / value buying</w:t>
      </w:r>
    </w:p>
    <w:p>
      <w:pPr>
        <w:pStyle w:val="Heading3"/>
        <w:spacing w:before="240" w:after="120"/>
      </w:pPr>
      <w:r>
        <w:rPr>
          <w:rFonts w:ascii="Arial" w:cs="Arial" w:eastAsia="Arial" w:hAnsi="Arial"/>
          <w:b/>
          <w:bCs/>
          <w:color w:val="1E3A5F"/>
          <w:sz w:val="24"/>
          <w:szCs w:val="24"/>
        </w:rPr>
        <w:t xml:space="preserve">Step 4: Signal Aggregation</w:t>
      </w:r>
    </w:p>
    <w:p>
      <w:pPr>
        <w:pStyle w:val="ListParagraph"/>
        <w:numPr>
          <w:ilvl w:val="0"/>
          <w:numId w:val="2"/>
        </w:numPr>
        <w:spacing w:before="60" w:after="60"/>
      </w:pPr>
      <w:r>
        <w:rPr>
          <w:rFonts w:ascii="Arial" w:cs="Arial" w:eastAsia="Arial" w:hAnsi="Arial"/>
          <w:color w:val="1E293B"/>
          <w:sz w:val="22"/>
          <w:szCs w:val="22"/>
        </w:rPr>
        <w:t xml:space="preserve">Insider net score = (Tier1_buys × 3 + Tier2_buys × 2 + Tier3_buys × 1) − (all_sells × 1.5)</w:t>
      </w:r>
    </w:p>
    <w:p>
      <w:pPr>
        <w:pStyle w:val="ListParagraph"/>
        <w:numPr>
          <w:ilvl w:val="0"/>
          <w:numId w:val="2"/>
        </w:numPr>
        <w:spacing w:before="60" w:after="60"/>
      </w:pPr>
      <w:r>
        <w:rPr>
          <w:rFonts w:ascii="Arial" w:cs="Arial" w:eastAsia="Arial" w:hAnsi="Arial"/>
          <w:color w:val="1E293B"/>
          <w:sz w:val="22"/>
          <w:szCs w:val="22"/>
        </w:rPr>
        <w:t xml:space="preserve">If promoter pledge &gt; 50%: Apply -20 point governance penalty to insider score</w:t>
      </w:r>
    </w:p>
    <w:p>
      <w:pPr>
        <w:pStyle w:val="ListParagraph"/>
        <w:numPr>
          <w:ilvl w:val="0"/>
          <w:numId w:val="2"/>
        </w:numPr>
        <w:spacing w:before="60" w:after="60"/>
      </w:pPr>
      <w:r>
        <w:rPr>
          <w:rFonts w:ascii="Arial" w:cs="Arial" w:eastAsia="Arial" w:hAnsi="Arial"/>
          <w:color w:val="1E293B"/>
          <w:sz w:val="22"/>
          <w:szCs w:val="22"/>
        </w:rPr>
        <w:t xml:space="preserve">Confidence is lower if data is older than 30 days (filing lag is common)</w:t>
      </w:r>
    </w:p>
    <w:p>
      <w:pPr>
        <w:pStyle w:val="Heading2"/>
        <w:spacing w:before="320" w:after="160"/>
      </w:pPr>
      <w:r>
        <w:rPr>
          <w:rFonts w:ascii="Arial" w:cs="Arial" w:eastAsia="Arial" w:hAnsi="Arial"/>
          <w:b/>
          <w:bCs/>
          <w:color w:val="2563EB"/>
          <w:sz w:val="28"/>
          <w:szCs w:val="28"/>
        </w:rPr>
        <w:t xml:space="preserve">Output Schema — data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Field</w:t>
            </w:r>
          </w:p>
        </w:tc>
        <w:tc>
          <w:tcPr>
            <w:tcW w:type="dxa" w:w="2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45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insider_net_signal</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'strong_buy' | 'buy' | 'neutral' | 'sell' | 'strong_sell'</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recent_transactions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array</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Last 10 insider transactions with date, name, role, type, quantity, value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cluster_buy_detected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bool</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True if 3+ insiders bought within last 30 days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promoter_pledge_pct</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Percentage of promoter shares currently pledged</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pledge_trend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'increasing' | 'stable' | 'decreasing'</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fii_net_30d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FII net buy/sell value over last 30 days (in crores/millions)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dii_net_30d</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DII net buy/sell value over last 30 days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institutional_flow_signal</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'accumulation' | 'distribution' | 'neutral'</w:t>
            </w:r>
          </w:p>
        </w:tc>
      </w:tr>
    </w:tbl>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160"/>
              <w:left w:type="dxa" w:w="240"/>
              <w:bottom w:type="dxa" w:w="160"/>
              <w:right w:type="dxa" w:w="240"/>
            </w:tcMar>
          </w:tcPr>
          <w:p>
            <w:pPr>
              <w:spacing w:before="40" w:after="40"/>
            </w:pPr>
            <w:r>
              <w:rPr>
                <w:rFonts w:ascii="Arial" w:cs="Arial" w:eastAsia="Arial" w:hAnsi="Arial"/>
                <w:b/>
                <w:bCs/>
                <w:color w:val="FFFFFF"/>
                <w:sz w:val="32"/>
                <w:szCs w:val="32"/>
              </w:rPr>
              <w:t xml:space="preserve">🏛️  Agent 7: Governance Agent</w:t>
            </w:r>
          </w:p>
          <w:p>
            <w:pPr>
              <w:spacing w:before="20" w:after="40"/>
            </w:pPr>
            <w:r>
              <w:rPr>
                <w:rFonts w:ascii="Arial" w:cs="Arial" w:eastAsia="Arial" w:hAnsi="Arial"/>
                <w:i/>
                <w:iCs/>
                <w:color w:val="BFDBFE"/>
                <w:sz w:val="20"/>
                <w:szCs w:val="20"/>
              </w:rPr>
              <w:t xml:space="preserve">Corporate Governance, Fraud Signals &amp; Risk Flags</w:t>
            </w:r>
          </w:p>
        </w:tc>
      </w:tr>
    </w:tbl>
    <w:p>
      <w:pPr>
        <w:spacing w:before="200" w:after="100"/>
      </w:pPr>
    </w:p>
    <w:p>
      <w:pPr>
        <w:pStyle w:val="Heading2"/>
        <w:spacing w:before="320" w:after="160"/>
      </w:pPr>
      <w:r>
        <w:rPr>
          <w:rFonts w:ascii="Arial" w:cs="Arial" w:eastAsia="Arial" w:hAnsi="Arial"/>
          <w:b/>
          <w:bCs/>
          <w:color w:val="2563EB"/>
          <w:sz w:val="28"/>
          <w:szCs w:val="28"/>
        </w:rPr>
        <w:t xml:space="preserve">Purpose</w:t>
      </w:r>
    </w:p>
    <w:p>
      <w:pPr>
        <w:spacing w:before="80" w:after="100"/>
      </w:pPr>
      <w:r>
        <w:rPr>
          <w:rFonts w:ascii="Arial" w:cs="Arial" w:eastAsia="Arial" w:hAnsi="Arial"/>
          <w:color w:val="1E293B"/>
          <w:sz w:val="22"/>
          <w:szCs w:val="22"/>
        </w:rPr>
        <w:t xml:space="preserve">The Governance Agent protects investors from undisclosed corporate risks. Weak governance is a leading indicator of accounting irregularities, capital misallocation, and eventual stock value destruction. This agent assigns a governance score and flags potential fraud red flags.</w:t>
      </w:r>
    </w:p>
    <w:p>
      <w:pPr>
        <w:pStyle w:val="Heading2"/>
        <w:spacing w:before="320" w:after="160"/>
      </w:pPr>
      <w:r>
        <w:rPr>
          <w:rFonts w:ascii="Arial" w:cs="Arial" w:eastAsia="Arial" w:hAnsi="Arial"/>
          <w:b/>
          <w:bCs/>
          <w:color w:val="2563EB"/>
          <w:sz w:val="28"/>
          <w:szCs w:val="28"/>
        </w:rPr>
        <w:t xml:space="preserve">Data Sources</w:t>
      </w:r>
    </w:p>
    <w:p>
      <w:pPr>
        <w:pStyle w:val="ListParagraph"/>
        <w:numPr>
          <w:ilvl w:val="0"/>
          <w:numId w:val="2"/>
        </w:numPr>
        <w:spacing w:before="60" w:after="60"/>
      </w:pPr>
      <w:r>
        <w:rPr>
          <w:rFonts w:ascii="Arial" w:cs="Arial" w:eastAsia="Arial" w:hAnsi="Arial"/>
          <w:color w:val="1E293B"/>
          <w:sz w:val="22"/>
          <w:szCs w:val="22"/>
        </w:rPr>
        <w:t xml:space="preserve">Annual Reports (PDF): Company website or BSE/NSE filing section (for notes to accounts, auditor report, related party disclosures)</w:t>
      </w:r>
    </w:p>
    <w:p>
      <w:pPr>
        <w:pStyle w:val="ListParagraph"/>
        <w:numPr>
          <w:ilvl w:val="0"/>
          <w:numId w:val="2"/>
        </w:numPr>
        <w:spacing w:before="60" w:after="60"/>
      </w:pPr>
      <w:r>
        <w:rPr>
          <w:rFonts w:ascii="Arial" w:cs="Arial" w:eastAsia="Arial" w:hAnsi="Arial"/>
          <w:color w:val="1E293B"/>
          <w:sz w:val="22"/>
          <w:szCs w:val="22"/>
        </w:rPr>
        <w:t xml:space="preserve">BSE/NSE corporate announcements: Auditor change disclosures, legal case filings, regulatory actions</w:t>
      </w:r>
    </w:p>
    <w:p>
      <w:pPr>
        <w:pStyle w:val="ListParagraph"/>
        <w:numPr>
          <w:ilvl w:val="0"/>
          <w:numId w:val="2"/>
        </w:numPr>
        <w:spacing w:before="60" w:after="60"/>
      </w:pPr>
      <w:r>
        <w:rPr>
          <w:rFonts w:ascii="Arial" w:cs="Arial" w:eastAsia="Arial" w:hAnsi="Arial"/>
          <w:color w:val="1E293B"/>
          <w:sz w:val="22"/>
          <w:szCs w:val="22"/>
        </w:rPr>
        <w:t xml:space="preserve">Ministry of Corporate Affairs (MCA21): Director DIN lookup, disqualified directors check</w:t>
      </w:r>
    </w:p>
    <w:p>
      <w:pPr>
        <w:pStyle w:val="ListParagraph"/>
        <w:numPr>
          <w:ilvl w:val="0"/>
          <w:numId w:val="2"/>
        </w:numPr>
        <w:spacing w:before="60" w:after="60"/>
      </w:pPr>
      <w:r>
        <w:rPr>
          <w:rFonts w:ascii="Arial" w:cs="Arial" w:eastAsia="Arial" w:hAnsi="Arial"/>
          <w:color w:val="1E293B"/>
          <w:sz w:val="22"/>
          <w:szCs w:val="22"/>
        </w:rPr>
        <w:t xml:space="preserve">SEBI enforcement orders: sebi.gov.in/enforcement/orders — search by company name</w:t>
      </w:r>
    </w:p>
    <w:p>
      <w:pPr>
        <w:pStyle w:val="ListParagraph"/>
        <w:numPr>
          <w:ilvl w:val="0"/>
          <w:numId w:val="2"/>
        </w:numPr>
        <w:spacing w:before="60" w:after="60"/>
      </w:pPr>
      <w:r>
        <w:rPr>
          <w:rFonts w:ascii="Arial" w:cs="Arial" w:eastAsia="Arial" w:hAnsi="Arial"/>
          <w:color w:val="1E293B"/>
          <w:sz w:val="22"/>
          <w:szCs w:val="22"/>
        </w:rPr>
        <w:t xml:space="preserve">Screener.in / Trendlyne: Pre-parsed governance metrics for Indian stocks</w:t>
      </w:r>
    </w:p>
    <w:p>
      <w:pPr>
        <w:pStyle w:val="ListParagraph"/>
        <w:numPr>
          <w:ilvl w:val="0"/>
          <w:numId w:val="2"/>
        </w:numPr>
        <w:spacing w:before="60" w:after="60"/>
      </w:pPr>
      <w:r>
        <w:rPr>
          <w:rFonts w:ascii="Arial" w:cs="Arial" w:eastAsia="Arial" w:hAnsi="Arial"/>
          <w:color w:val="1E293B"/>
          <w:sz w:val="22"/>
          <w:szCs w:val="22"/>
        </w:rPr>
        <w:t xml:space="preserve">CRISIL/ICRA/CARE credit rating reports: Rating downgrades are early warning signals</w:t>
      </w:r>
    </w:p>
    <w:p>
      <w:pPr>
        <w:pStyle w:val="Heading2"/>
        <w:spacing w:before="320" w:after="160"/>
      </w:pPr>
      <w:r>
        <w:rPr>
          <w:rFonts w:ascii="Arial" w:cs="Arial" w:eastAsia="Arial" w:hAnsi="Arial"/>
          <w:b/>
          <w:bCs/>
          <w:color w:val="2563EB"/>
          <w:sz w:val="28"/>
          <w:szCs w:val="28"/>
        </w:rPr>
        <w:t xml:space="preserve">Red Flag Framework</w:t>
      </w:r>
    </w:p>
    <w:p>
      <w:pPr>
        <w:pStyle w:val="Heading3"/>
        <w:spacing w:before="240" w:after="120"/>
      </w:pPr>
      <w:r>
        <w:rPr>
          <w:rFonts w:ascii="Arial" w:cs="Arial" w:eastAsia="Arial" w:hAnsi="Arial"/>
          <w:b/>
          <w:bCs/>
          <w:color w:val="1E3A5F"/>
          <w:sz w:val="24"/>
          <w:szCs w:val="24"/>
        </w:rPr>
        <w:t xml:space="preserve">Auditor-Related Flags</w:t>
      </w:r>
    </w:p>
    <w:p>
      <w:pPr>
        <w:pStyle w:val="ListParagraph"/>
        <w:numPr>
          <w:ilvl w:val="0"/>
          <w:numId w:val="2"/>
        </w:numPr>
        <w:spacing w:before="60" w:after="60"/>
      </w:pPr>
      <w:r>
        <w:rPr>
          <w:rFonts w:ascii="Arial" w:cs="Arial" w:eastAsia="Arial" w:hAnsi="Arial"/>
          <w:color w:val="1E293B"/>
          <w:sz w:val="22"/>
          <w:szCs w:val="22"/>
        </w:rPr>
        <w:t xml:space="preserve">Auditor resignation mid-year: HIGH severity — auditors rarely resign without cause</w:t>
      </w:r>
    </w:p>
    <w:p>
      <w:pPr>
        <w:pStyle w:val="ListParagraph"/>
        <w:numPr>
          <w:ilvl w:val="0"/>
          <w:numId w:val="2"/>
        </w:numPr>
        <w:spacing w:before="60" w:after="60"/>
      </w:pPr>
      <w:r>
        <w:rPr>
          <w:rFonts w:ascii="Arial" w:cs="Arial" w:eastAsia="Arial" w:hAnsi="Arial"/>
          <w:color w:val="1E293B"/>
          <w:sz w:val="22"/>
          <w:szCs w:val="22"/>
        </w:rPr>
        <w:t xml:space="preserve">Switch from Big 4 / reputed firm to small unknown firm: MEDIUM severity</w:t>
      </w:r>
    </w:p>
    <w:p>
      <w:pPr>
        <w:pStyle w:val="ListParagraph"/>
        <w:numPr>
          <w:ilvl w:val="0"/>
          <w:numId w:val="2"/>
        </w:numPr>
        <w:spacing w:before="60" w:after="60"/>
      </w:pPr>
      <w:r>
        <w:rPr>
          <w:rFonts w:ascii="Arial" w:cs="Arial" w:eastAsia="Arial" w:hAnsi="Arial"/>
          <w:color w:val="1E293B"/>
          <w:sz w:val="22"/>
          <w:szCs w:val="22"/>
        </w:rPr>
        <w:t xml:space="preserve">Qualified audit opinion or emphasis of matter: HIGH severity — must read the specific qualification</w:t>
      </w:r>
    </w:p>
    <w:p>
      <w:pPr>
        <w:pStyle w:val="ListParagraph"/>
        <w:numPr>
          <w:ilvl w:val="0"/>
          <w:numId w:val="2"/>
        </w:numPr>
        <w:spacing w:before="60" w:after="60"/>
      </w:pPr>
      <w:r>
        <w:rPr>
          <w:rFonts w:ascii="Arial" w:cs="Arial" w:eastAsia="Arial" w:hAnsi="Arial"/>
          <w:color w:val="1E293B"/>
          <w:sz w:val="22"/>
          <w:szCs w:val="22"/>
        </w:rPr>
        <w:t xml:space="preserve">Long auditor tenure (&gt; 10 years) without rotation: LOW severity — potential independence risk</w:t>
      </w:r>
    </w:p>
    <w:p>
      <w:pPr>
        <w:pStyle w:val="Heading3"/>
        <w:spacing w:before="240" w:after="120"/>
      </w:pPr>
      <w:r>
        <w:rPr>
          <w:rFonts w:ascii="Arial" w:cs="Arial" w:eastAsia="Arial" w:hAnsi="Arial"/>
          <w:b/>
          <w:bCs/>
          <w:color w:val="1E3A5F"/>
          <w:sz w:val="24"/>
          <w:szCs w:val="24"/>
        </w:rPr>
        <w:t xml:space="preserve">Financial Statement Flags (Beneish M-Score)</w:t>
      </w:r>
    </w:p>
    <w:p>
      <w:pPr>
        <w:spacing w:before="80" w:after="100"/>
      </w:pPr>
      <w:r>
        <w:rPr>
          <w:rFonts w:ascii="Arial" w:cs="Arial" w:eastAsia="Arial" w:hAnsi="Arial"/>
          <w:color w:val="1E293B"/>
          <w:sz w:val="22"/>
          <w:szCs w:val="22"/>
        </w:rPr>
        <w:t xml:space="preserve">Compute the Beneish M-Score using 8 financial ratios derived from two consecutive annual reports. M-Score &gt; -1.78 indicates a HIGH probability of earnings manipulation.</w:t>
      </w:r>
    </w:p>
    <w:p>
      <w:pPr>
        <w:pStyle w:val="ListParagraph"/>
        <w:numPr>
          <w:ilvl w:val="0"/>
          <w:numId w:val="2"/>
        </w:numPr>
        <w:spacing w:before="60" w:after="60"/>
      </w:pPr>
      <w:r>
        <w:rPr>
          <w:rFonts w:ascii="Arial" w:cs="Arial" w:eastAsia="Arial" w:hAnsi="Arial"/>
          <w:color w:val="1E293B"/>
          <w:sz w:val="22"/>
          <w:szCs w:val="22"/>
        </w:rPr>
        <w:t xml:space="preserve">DSRI (Days Sales Receivable Index): Rising DSR relative to revenue is a manipulation flag</w:t>
      </w:r>
    </w:p>
    <w:p>
      <w:pPr>
        <w:pStyle w:val="ListParagraph"/>
        <w:numPr>
          <w:ilvl w:val="0"/>
          <w:numId w:val="2"/>
        </w:numPr>
        <w:spacing w:before="60" w:after="60"/>
      </w:pPr>
      <w:r>
        <w:rPr>
          <w:rFonts w:ascii="Arial" w:cs="Arial" w:eastAsia="Arial" w:hAnsi="Arial"/>
          <w:color w:val="1E293B"/>
          <w:sz w:val="22"/>
          <w:szCs w:val="22"/>
        </w:rPr>
        <w:t xml:space="preserve">GMI (Gross Margin Index): Deteriorating margins signal competitive pressure or cost inflation</w:t>
      </w:r>
    </w:p>
    <w:p>
      <w:pPr>
        <w:pStyle w:val="ListParagraph"/>
        <w:numPr>
          <w:ilvl w:val="0"/>
          <w:numId w:val="2"/>
        </w:numPr>
        <w:spacing w:before="60" w:after="60"/>
      </w:pPr>
      <w:r>
        <w:rPr>
          <w:rFonts w:ascii="Arial" w:cs="Arial" w:eastAsia="Arial" w:hAnsi="Arial"/>
          <w:color w:val="1E293B"/>
          <w:sz w:val="22"/>
          <w:szCs w:val="22"/>
        </w:rPr>
        <w:t xml:space="preserve">AQI (Asset Quality Index): Rising non-current, non-PPE assets may indicate capitalising expenses</w:t>
      </w:r>
    </w:p>
    <w:p>
      <w:pPr>
        <w:pStyle w:val="ListParagraph"/>
        <w:numPr>
          <w:ilvl w:val="0"/>
          <w:numId w:val="2"/>
        </w:numPr>
        <w:spacing w:before="60" w:after="60"/>
      </w:pPr>
      <w:r>
        <w:rPr>
          <w:rFonts w:ascii="Arial" w:cs="Arial" w:eastAsia="Arial" w:hAnsi="Arial"/>
          <w:color w:val="1E293B"/>
          <w:sz w:val="22"/>
          <w:szCs w:val="22"/>
        </w:rPr>
        <w:t xml:space="preserve">SGI (Sales Growth Index): Rapid revenue growth alongside other flags = earnings pressure to maintain growth</w:t>
      </w:r>
    </w:p>
    <w:p>
      <w:pPr>
        <w:pStyle w:val="ListParagraph"/>
        <w:numPr>
          <w:ilvl w:val="0"/>
          <w:numId w:val="2"/>
        </w:numPr>
        <w:spacing w:before="60" w:after="60"/>
      </w:pPr>
      <w:r>
        <w:rPr>
          <w:rFonts w:ascii="Arial" w:cs="Arial" w:eastAsia="Arial" w:hAnsi="Arial"/>
          <w:color w:val="1E293B"/>
          <w:sz w:val="22"/>
          <w:szCs w:val="22"/>
        </w:rPr>
        <w:t xml:space="preserve">DEPI (Depreciation Index): Slowing depreciation can inflate earnings</w:t>
      </w:r>
    </w:p>
    <w:p>
      <w:pPr>
        <w:pStyle w:val="ListParagraph"/>
        <w:numPr>
          <w:ilvl w:val="0"/>
          <w:numId w:val="2"/>
        </w:numPr>
        <w:spacing w:before="60" w:after="60"/>
      </w:pPr>
      <w:r>
        <w:rPr>
          <w:rFonts w:ascii="Arial" w:cs="Arial" w:eastAsia="Arial" w:hAnsi="Arial"/>
          <w:color w:val="1E293B"/>
          <w:sz w:val="22"/>
          <w:szCs w:val="22"/>
        </w:rPr>
        <w:t xml:space="preserve">SGAI (SGA Index): Rising SGA as % of revenue despite scale</w:t>
      </w:r>
    </w:p>
    <w:p>
      <w:pPr>
        <w:pStyle w:val="ListParagraph"/>
        <w:numPr>
          <w:ilvl w:val="0"/>
          <w:numId w:val="2"/>
        </w:numPr>
        <w:spacing w:before="60" w:after="60"/>
      </w:pPr>
      <w:r>
        <w:rPr>
          <w:rFonts w:ascii="Arial" w:cs="Arial" w:eastAsia="Arial" w:hAnsi="Arial"/>
          <w:color w:val="1E293B"/>
          <w:sz w:val="22"/>
          <w:szCs w:val="22"/>
        </w:rPr>
        <w:t xml:space="preserve">LVGI (Leverage Index): Increasing leverage without asset growth</w:t>
      </w:r>
    </w:p>
    <w:p>
      <w:pPr>
        <w:pStyle w:val="ListParagraph"/>
        <w:numPr>
          <w:ilvl w:val="0"/>
          <w:numId w:val="2"/>
        </w:numPr>
        <w:spacing w:before="60" w:after="60"/>
      </w:pPr>
      <w:r>
        <w:rPr>
          <w:rFonts w:ascii="Arial" w:cs="Arial" w:eastAsia="Arial" w:hAnsi="Arial"/>
          <w:color w:val="1E293B"/>
          <w:sz w:val="22"/>
          <w:szCs w:val="22"/>
        </w:rPr>
        <w:t xml:space="preserve">TATA (Total Accruals to Assets): High accruals relative to assets = low cash earnings quality</w:t>
      </w:r>
    </w:p>
    <w:p>
      <w:pPr>
        <w:pStyle w:val="Heading3"/>
        <w:spacing w:before="240" w:after="120"/>
      </w:pPr>
      <w:r>
        <w:rPr>
          <w:rFonts w:ascii="Arial" w:cs="Arial" w:eastAsia="Arial" w:hAnsi="Arial"/>
          <w:b/>
          <w:bCs/>
          <w:color w:val="1E3A5F"/>
          <w:sz w:val="24"/>
          <w:szCs w:val="24"/>
        </w:rPr>
        <w:t xml:space="preserve">Related Party Transaction Flags</w:t>
      </w:r>
    </w:p>
    <w:p>
      <w:pPr>
        <w:pStyle w:val="ListParagraph"/>
        <w:numPr>
          <w:ilvl w:val="0"/>
          <w:numId w:val="2"/>
        </w:numPr>
        <w:spacing w:before="60" w:after="60"/>
      </w:pPr>
      <w:r>
        <w:rPr>
          <w:rFonts w:ascii="Arial" w:cs="Arial" w:eastAsia="Arial" w:hAnsi="Arial"/>
          <w:color w:val="1E293B"/>
          <w:sz w:val="22"/>
          <w:szCs w:val="22"/>
        </w:rPr>
        <w:t xml:space="preserve">Related party sales &gt; 10% of total revenue: Needs explanation in annual report</w:t>
      </w:r>
    </w:p>
    <w:p>
      <w:pPr>
        <w:pStyle w:val="ListParagraph"/>
        <w:numPr>
          <w:ilvl w:val="0"/>
          <w:numId w:val="2"/>
        </w:numPr>
        <w:spacing w:before="60" w:after="60"/>
      </w:pPr>
      <w:r>
        <w:rPr>
          <w:rFonts w:ascii="Arial" w:cs="Arial" w:eastAsia="Arial" w:hAnsi="Arial"/>
          <w:color w:val="1E293B"/>
          <w:sz w:val="22"/>
          <w:szCs w:val="22"/>
        </w:rPr>
        <w:t xml:space="preserve">Loans given to promoter-owned entities: Classic capital diversion pattern</w:t>
      </w:r>
    </w:p>
    <w:p>
      <w:pPr>
        <w:pStyle w:val="ListParagraph"/>
        <w:numPr>
          <w:ilvl w:val="0"/>
          <w:numId w:val="2"/>
        </w:numPr>
        <w:spacing w:before="60" w:after="60"/>
      </w:pPr>
      <w:r>
        <w:rPr>
          <w:rFonts w:ascii="Arial" w:cs="Arial" w:eastAsia="Arial" w:hAnsi="Arial"/>
          <w:color w:val="1E293B"/>
          <w:sz w:val="22"/>
          <w:szCs w:val="22"/>
        </w:rPr>
        <w:t xml:space="preserve">Assets purchased from related parties at above-market prices: Overpayment = capital extraction</w:t>
      </w:r>
    </w:p>
    <w:p>
      <w:pPr>
        <w:pStyle w:val="ListParagraph"/>
        <w:numPr>
          <w:ilvl w:val="0"/>
          <w:numId w:val="2"/>
        </w:numPr>
        <w:spacing w:before="60" w:after="60"/>
      </w:pPr>
      <w:r>
        <w:rPr>
          <w:rFonts w:ascii="Arial" w:cs="Arial" w:eastAsia="Arial" w:hAnsi="Arial"/>
          <w:color w:val="1E293B"/>
          <w:sz w:val="22"/>
          <w:szCs w:val="22"/>
        </w:rPr>
        <w:t xml:space="preserve">No independent valuation for related party transactions: Governance failure</w:t>
      </w:r>
    </w:p>
    <w:p>
      <w:pPr>
        <w:pStyle w:val="Heading3"/>
        <w:spacing w:before="240" w:after="120"/>
      </w:pPr>
      <w:r>
        <w:rPr>
          <w:rFonts w:ascii="Arial" w:cs="Arial" w:eastAsia="Arial" w:hAnsi="Arial"/>
          <w:b/>
          <w:bCs/>
          <w:color w:val="1E3A5F"/>
          <w:sz w:val="24"/>
          <w:szCs w:val="24"/>
        </w:rPr>
        <w:t xml:space="preserve">Promoter &amp; Board Flags</w:t>
      </w:r>
    </w:p>
    <w:p>
      <w:pPr>
        <w:pStyle w:val="ListParagraph"/>
        <w:numPr>
          <w:ilvl w:val="0"/>
          <w:numId w:val="2"/>
        </w:numPr>
        <w:spacing w:before="60" w:after="60"/>
      </w:pPr>
      <w:r>
        <w:rPr>
          <w:rFonts w:ascii="Arial" w:cs="Arial" w:eastAsia="Arial" w:hAnsi="Arial"/>
          <w:color w:val="1E293B"/>
          <w:sz w:val="22"/>
          <w:szCs w:val="22"/>
        </w:rPr>
        <w:t xml:space="preserve">Promoter holding declining consistently for 3+ quarters without explanation</w:t>
      </w:r>
    </w:p>
    <w:p>
      <w:pPr>
        <w:pStyle w:val="ListParagraph"/>
        <w:numPr>
          <w:ilvl w:val="0"/>
          <w:numId w:val="2"/>
        </w:numPr>
        <w:spacing w:before="60" w:after="60"/>
      </w:pPr>
      <w:r>
        <w:rPr>
          <w:rFonts w:ascii="Arial" w:cs="Arial" w:eastAsia="Arial" w:hAnsi="Arial"/>
          <w:color w:val="1E293B"/>
          <w:sz w:val="22"/>
          <w:szCs w:val="22"/>
        </w:rPr>
        <w:t xml:space="preserve">Frequent director changes (&gt; 3 independent director resignations in 2 years)</w:t>
      </w:r>
    </w:p>
    <w:p>
      <w:pPr>
        <w:pStyle w:val="ListParagraph"/>
        <w:numPr>
          <w:ilvl w:val="0"/>
          <w:numId w:val="2"/>
        </w:numPr>
        <w:spacing w:before="60" w:after="60"/>
      </w:pPr>
      <w:r>
        <w:rPr>
          <w:rFonts w:ascii="Arial" w:cs="Arial" w:eastAsia="Arial" w:hAnsi="Arial"/>
          <w:color w:val="1E293B"/>
          <w:sz w:val="22"/>
          <w:szCs w:val="22"/>
        </w:rPr>
        <w:t xml:space="preserve">CEO/CFO resignation combined with auditor change: CRITICAL red flag</w:t>
      </w:r>
    </w:p>
    <w:p>
      <w:pPr>
        <w:pStyle w:val="ListParagraph"/>
        <w:numPr>
          <w:ilvl w:val="0"/>
          <w:numId w:val="2"/>
        </w:numPr>
        <w:spacing w:before="60" w:after="60"/>
      </w:pPr>
      <w:r>
        <w:rPr>
          <w:rFonts w:ascii="Arial" w:cs="Arial" w:eastAsia="Arial" w:hAnsi="Arial"/>
          <w:color w:val="1E293B"/>
          <w:sz w:val="22"/>
          <w:szCs w:val="22"/>
        </w:rPr>
        <w:t xml:space="preserve">Board lacks truly independent directors (all 'independent' directors have past links to promoter)</w:t>
      </w:r>
    </w:p>
    <w:p>
      <w:pPr>
        <w:pStyle w:val="Heading2"/>
        <w:spacing w:before="320" w:after="160"/>
      </w:pPr>
      <w:r>
        <w:rPr>
          <w:rFonts w:ascii="Arial" w:cs="Arial" w:eastAsia="Arial" w:hAnsi="Arial"/>
          <w:b/>
          <w:bCs/>
          <w:color w:val="2563EB"/>
          <w:sz w:val="28"/>
          <w:szCs w:val="28"/>
        </w:rPr>
        <w:t xml:space="preserve">Governance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3100"/>
        <w:gridCol w:w="25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1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 Score</w:t>
            </w:r>
          </w:p>
        </w:tc>
        <w:tc>
          <w:tcPr>
            <w:tcW w:type="dxa" w:w="31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Inputs</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Penalty Triggers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 Quality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 pts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Auditor reputation, tenure, opinions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Auditor resignation = -20</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Financial Integrity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25 pts</w:t>
            </w:r>
          </w:p>
        </w:tc>
        <w:tc>
          <w:tcPr>
            <w:tcW w:type="dxa" w:w="3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Beneish M-Score, accrual quality</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M-Score &gt; -1.78 = -20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Board Quality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 pts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Board independence, diversity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CEO+CFO+Auditor change = -15</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Related Parties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 pts</w:t>
            </w:r>
          </w:p>
        </w:tc>
        <w:tc>
          <w:tcPr>
            <w:tcW w:type="dxa" w:w="3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RPT as % revenue, arms-length</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Loans to promoter entities = -15</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Regulatory</w:t>
            </w:r>
          </w:p>
        </w:tc>
        <w:tc>
          <w:tcPr>
            <w:tcW w:type="dxa" w:w="1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pts</w:t>
            </w:r>
          </w:p>
        </w:tc>
        <w:tc>
          <w:tcPr>
            <w:tcW w:type="dxa" w:w="3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SEBI/legal cases, credit rating</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Active SEBI order = -10</w:t>
            </w:r>
          </w:p>
        </w:tc>
      </w:tr>
    </w:tbl>
    <w:p>
      <w:pPr>
        <w:spacing w:before="160" w:after="80"/>
      </w:pPr>
    </w:p>
    <w:p>
      <w:pPr>
        <w:pStyle w:val="Heading2"/>
        <w:spacing w:before="320" w:after="160"/>
      </w:pPr>
      <w:r>
        <w:rPr>
          <w:rFonts w:ascii="Arial" w:cs="Arial" w:eastAsia="Arial" w:hAnsi="Arial"/>
          <w:b/>
          <w:bCs/>
          <w:color w:val="2563EB"/>
          <w:sz w:val="28"/>
          <w:szCs w:val="28"/>
        </w:rPr>
        <w:t xml:space="preserve">Output Schema — data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Field</w:t>
            </w:r>
          </w:p>
        </w:tc>
        <w:tc>
          <w:tcPr>
            <w:tcW w:type="dxa" w:w="2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45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governance_score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 (0–100)</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Composite governance quality score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beneish_m_score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Beneish M-Score (-2.5 = clean; &gt; -1.78 = manipulation risk)</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fraud_probability</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'low' | 'medium' | 'high'</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red_flags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array</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List of identified red flags with severity (low/medium/high/critical)</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auditor_status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object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Auditor name, tenure, last opinion, any changes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promoter_holding_trend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'stable' | 'increasing' | 'decreasing'</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related_party_pct</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Related party transactions as % of revenue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board_quality_score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int (0–100)</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Board independence and quality sub-score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active_legal_cases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bool</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True if material pending litigation found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credit_rating</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Latest credit rating and outlook if available</w:t>
            </w:r>
          </w:p>
        </w:tc>
      </w:tr>
    </w:tbl>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160"/>
              <w:left w:type="dxa" w:w="240"/>
              <w:bottom w:type="dxa" w:w="160"/>
              <w:right w:type="dxa" w:w="240"/>
            </w:tcMar>
          </w:tcPr>
          <w:p>
            <w:pPr>
              <w:spacing w:before="40" w:after="40"/>
            </w:pPr>
            <w:r>
              <w:rPr>
                <w:rFonts w:ascii="Arial" w:cs="Arial" w:eastAsia="Arial" w:hAnsi="Arial"/>
                <w:b/>
                <w:bCs/>
                <w:color w:val="FFFFFF"/>
                <w:sz w:val="32"/>
                <w:szCs w:val="32"/>
              </w:rPr>
              <w:t xml:space="preserve">📚  Agent 8: RAG Filing Agent</w:t>
            </w:r>
          </w:p>
          <w:p>
            <w:pPr>
              <w:spacing w:before="20" w:after="40"/>
            </w:pPr>
            <w:r>
              <w:rPr>
                <w:rFonts w:ascii="Arial" w:cs="Arial" w:eastAsia="Arial" w:hAnsi="Arial"/>
                <w:i/>
                <w:iCs/>
                <w:color w:val="BFDBFE"/>
                <w:sz w:val="20"/>
                <w:szCs w:val="20"/>
              </w:rPr>
              <w:t xml:space="preserve">Retrieval-Augmented Filing &amp; Document Analysis</w:t>
            </w:r>
          </w:p>
        </w:tc>
      </w:tr>
    </w:tbl>
    <w:p>
      <w:pPr>
        <w:spacing w:before="200" w:after="100"/>
      </w:pPr>
    </w:p>
    <w:p>
      <w:pPr>
        <w:pStyle w:val="Heading2"/>
        <w:spacing w:before="320" w:after="160"/>
      </w:pPr>
      <w:r>
        <w:rPr>
          <w:rFonts w:ascii="Arial" w:cs="Arial" w:eastAsia="Arial" w:hAnsi="Arial"/>
          <w:b/>
          <w:bCs/>
          <w:color w:val="2563EB"/>
          <w:sz w:val="28"/>
          <w:szCs w:val="28"/>
        </w:rPr>
        <w:t xml:space="preserve">Purpose</w:t>
      </w:r>
    </w:p>
    <w:p>
      <w:pPr>
        <w:spacing w:before="80" w:after="100"/>
      </w:pPr>
      <w:r>
        <w:rPr>
          <w:rFonts w:ascii="Arial" w:cs="Arial" w:eastAsia="Arial" w:hAnsi="Arial"/>
          <w:color w:val="1E293B"/>
          <w:sz w:val="22"/>
          <w:szCs w:val="22"/>
        </w:rPr>
        <w:t xml:space="preserve">The RAG Filing Agent uses Retrieval-Augmented Generation (RAG) to parse and extract structured insights from unstructured financial documents: 10-K filings, annual reports, 10-Q / quarterly reports, and NSE/BSE regulatory filings. It extracts growth metrics, risk disclosures, management commentary, and future guidance that is not captured in structured financial databases.</w:t>
      </w:r>
    </w:p>
    <w:p>
      <w:pPr>
        <w:pStyle w:val="Heading2"/>
        <w:spacing w:before="320" w:after="160"/>
      </w:pPr>
      <w:r>
        <w:rPr>
          <w:rFonts w:ascii="Arial" w:cs="Arial" w:eastAsia="Arial" w:hAnsi="Arial"/>
          <w:b/>
          <w:bCs/>
          <w:color w:val="2563EB"/>
          <w:sz w:val="28"/>
          <w:szCs w:val="28"/>
        </w:rPr>
        <w:t xml:space="preserve">RAG Pipeline Architecture</w:t>
      </w:r>
    </w:p>
    <w:p>
      <w:pPr>
        <w:pStyle w:val="Heading3"/>
        <w:spacing w:before="240" w:after="120"/>
      </w:pPr>
      <w:r>
        <w:rPr>
          <w:rFonts w:ascii="Arial" w:cs="Arial" w:eastAsia="Arial" w:hAnsi="Arial"/>
          <w:b/>
          <w:bCs/>
          <w:color w:val="1E3A5F"/>
          <w:sz w:val="24"/>
          <w:szCs w:val="24"/>
        </w:rPr>
        <w:t xml:space="preserve">Step 1: Document Ingestion</w:t>
      </w:r>
    </w:p>
    <w:p>
      <w:pPr>
        <w:pStyle w:val="ListParagraph"/>
        <w:numPr>
          <w:ilvl w:val="0"/>
          <w:numId w:val="2"/>
        </w:numPr>
        <w:spacing w:before="60" w:after="60"/>
      </w:pPr>
      <w:r>
        <w:rPr>
          <w:rFonts w:ascii="Arial" w:cs="Arial" w:eastAsia="Arial" w:hAnsi="Arial"/>
          <w:color w:val="1E293B"/>
          <w:sz w:val="22"/>
          <w:szCs w:val="22"/>
        </w:rPr>
        <w:t xml:space="preserve">Sources: SEC EDGAR (10-K, 10-Q), BSE filing portal, NSE annual report PDFs, company investor relations pages</w:t>
      </w:r>
    </w:p>
    <w:p>
      <w:pPr>
        <w:pStyle w:val="ListParagraph"/>
        <w:numPr>
          <w:ilvl w:val="0"/>
          <w:numId w:val="2"/>
        </w:numPr>
        <w:spacing w:before="60" w:after="60"/>
      </w:pPr>
      <w:r>
        <w:rPr>
          <w:rFonts w:ascii="Arial" w:cs="Arial" w:eastAsia="Arial" w:hAnsi="Arial"/>
          <w:color w:val="1E293B"/>
          <w:sz w:val="22"/>
          <w:szCs w:val="22"/>
        </w:rPr>
        <w:t xml:space="preserve">Format support: PDF (primary), HTML (SEC EDGAR XBRL-viewer), TXT</w:t>
      </w:r>
    </w:p>
    <w:p>
      <w:pPr>
        <w:pStyle w:val="ListParagraph"/>
        <w:numPr>
          <w:ilvl w:val="0"/>
          <w:numId w:val="2"/>
        </w:numPr>
        <w:spacing w:before="60" w:after="60"/>
      </w:pPr>
      <w:r>
        <w:rPr>
          <w:rFonts w:ascii="Arial" w:cs="Arial" w:eastAsia="Arial" w:hAnsi="Arial"/>
          <w:color w:val="1E293B"/>
          <w:sz w:val="22"/>
          <w:szCs w:val="22"/>
        </w:rPr>
        <w:t xml:space="preserve">PDF parsing: Use PyMuPDF (fitz) for high-quality PDF text extraction; fallback to pdfminer</w:t>
      </w:r>
    </w:p>
    <w:p>
      <w:pPr>
        <w:pStyle w:val="ListParagraph"/>
        <w:numPr>
          <w:ilvl w:val="0"/>
          <w:numId w:val="2"/>
        </w:numPr>
        <w:spacing w:before="60" w:after="60"/>
      </w:pPr>
      <w:r>
        <w:rPr>
          <w:rFonts w:ascii="Arial" w:cs="Arial" w:eastAsia="Arial" w:hAnsi="Arial"/>
          <w:color w:val="1E293B"/>
          <w:sz w:val="22"/>
          <w:szCs w:val="22"/>
        </w:rPr>
        <w:t xml:space="preserve">Chunking strategy: Chunk documents into 512-token segments with 64-token overlap. Use semantic chunking (split at paragraph/heading boundaries) not naive token splits.</w:t>
      </w:r>
    </w:p>
    <w:p>
      <w:pPr>
        <w:pStyle w:val="Heading3"/>
        <w:spacing w:before="240" w:after="120"/>
      </w:pPr>
      <w:r>
        <w:rPr>
          <w:rFonts w:ascii="Arial" w:cs="Arial" w:eastAsia="Arial" w:hAnsi="Arial"/>
          <w:b/>
          <w:bCs/>
          <w:color w:val="1E3A5F"/>
          <w:sz w:val="24"/>
          <w:szCs w:val="24"/>
        </w:rPr>
        <w:t xml:space="preserve">Step 2: Embedding &amp; Indexing</w:t>
      </w:r>
    </w:p>
    <w:p>
      <w:pPr>
        <w:pStyle w:val="ListParagraph"/>
        <w:numPr>
          <w:ilvl w:val="0"/>
          <w:numId w:val="2"/>
        </w:numPr>
        <w:spacing w:before="60" w:after="60"/>
      </w:pPr>
      <w:r>
        <w:rPr>
          <w:rFonts w:ascii="Arial" w:cs="Arial" w:eastAsia="Arial" w:hAnsi="Arial"/>
          <w:color w:val="1E293B"/>
          <w:sz w:val="22"/>
          <w:szCs w:val="22"/>
        </w:rPr>
        <w:t xml:space="preserve">Embedding model: text-embedding-3-small (OpenAI) or sentence-transformers/all-MiniLM-L6-v2 (local)</w:t>
      </w:r>
    </w:p>
    <w:p>
      <w:pPr>
        <w:pStyle w:val="ListParagraph"/>
        <w:numPr>
          <w:ilvl w:val="0"/>
          <w:numId w:val="2"/>
        </w:numPr>
        <w:spacing w:before="60" w:after="60"/>
      </w:pPr>
      <w:r>
        <w:rPr>
          <w:rFonts w:ascii="Arial" w:cs="Arial" w:eastAsia="Arial" w:hAnsi="Arial"/>
          <w:color w:val="1E293B"/>
          <w:sz w:val="22"/>
          <w:szCs w:val="22"/>
        </w:rPr>
        <w:t xml:space="preserve">Vector database: ChromaDB (local, open-source) or Pinecone (cloud, managed)</w:t>
      </w:r>
    </w:p>
    <w:p>
      <w:pPr>
        <w:pStyle w:val="ListParagraph"/>
        <w:numPr>
          <w:ilvl w:val="0"/>
          <w:numId w:val="2"/>
        </w:numPr>
        <w:spacing w:before="60" w:after="60"/>
      </w:pPr>
      <w:r>
        <w:rPr>
          <w:rFonts w:ascii="Arial" w:cs="Arial" w:eastAsia="Arial" w:hAnsi="Arial"/>
          <w:color w:val="1E293B"/>
          <w:sz w:val="22"/>
          <w:szCs w:val="22"/>
        </w:rPr>
        <w:t xml:space="preserve">Metadata per chunk: {document_type, company, fiscal_year, section, page_number}</w:t>
      </w:r>
    </w:p>
    <w:p>
      <w:pPr>
        <w:pStyle w:val="ListParagraph"/>
        <w:numPr>
          <w:ilvl w:val="0"/>
          <w:numId w:val="2"/>
        </w:numPr>
        <w:spacing w:before="60" w:after="60"/>
      </w:pPr>
      <w:r>
        <w:rPr>
          <w:rFonts w:ascii="Arial" w:cs="Arial" w:eastAsia="Arial" w:hAnsi="Arial"/>
          <w:color w:val="1E293B"/>
          <w:sz w:val="22"/>
          <w:szCs w:val="22"/>
        </w:rPr>
        <w:t xml:space="preserve">Update strategy: Re-index when new filings are detected (check filing date vs last indexed date)</w:t>
      </w:r>
    </w:p>
    <w:p>
      <w:pPr>
        <w:pStyle w:val="Heading3"/>
        <w:spacing w:before="240" w:after="120"/>
      </w:pPr>
      <w:r>
        <w:rPr>
          <w:rFonts w:ascii="Arial" w:cs="Arial" w:eastAsia="Arial" w:hAnsi="Arial"/>
          <w:b/>
          <w:bCs/>
          <w:color w:val="1E3A5F"/>
          <w:sz w:val="24"/>
          <w:szCs w:val="24"/>
        </w:rPr>
        <w:t xml:space="preserve">Step 3: Query Decomposition</w:t>
      </w:r>
    </w:p>
    <w:p>
      <w:pPr>
        <w:spacing w:before="80" w:after="100"/>
      </w:pPr>
      <w:r>
        <w:rPr>
          <w:rFonts w:ascii="Arial" w:cs="Arial" w:eastAsia="Arial" w:hAnsi="Arial"/>
          <w:color w:val="1E293B"/>
          <w:sz w:val="22"/>
          <w:szCs w:val="22"/>
        </w:rPr>
        <w:t xml:space="preserve">The RAG Filing Agent uses a set of pre-defined sub-queries to extract specific information categories. These are run as retrieval tasks against the vector index:</w:t>
      </w:r>
    </w:p>
    <w:p>
      <w:pPr>
        <w:pStyle w:val="ListParagraph"/>
        <w:numPr>
          <w:ilvl w:val="0"/>
          <w:numId w:val="2"/>
        </w:numPr>
        <w:spacing w:before="60" w:after="60"/>
      </w:pPr>
      <w:r>
        <w:rPr>
          <w:rFonts w:ascii="Arial" w:cs="Arial" w:eastAsia="Arial" w:hAnsi="Arial"/>
          <w:color w:val="1E293B"/>
          <w:sz w:val="22"/>
          <w:szCs w:val="22"/>
        </w:rPr>
        <w:t xml:space="preserve">Growth metrics: 'revenue growth guidance', 'management outlook', 'expansion plans', 'new product launches'</w:t>
      </w:r>
    </w:p>
    <w:p>
      <w:pPr>
        <w:pStyle w:val="ListParagraph"/>
        <w:numPr>
          <w:ilvl w:val="0"/>
          <w:numId w:val="2"/>
        </w:numPr>
        <w:spacing w:before="60" w:after="60"/>
      </w:pPr>
      <w:r>
        <w:rPr>
          <w:rFonts w:ascii="Arial" w:cs="Arial" w:eastAsia="Arial" w:hAnsi="Arial"/>
          <w:color w:val="1E293B"/>
          <w:sz w:val="22"/>
          <w:szCs w:val="22"/>
        </w:rPr>
        <w:t xml:space="preserve">Risk disclosures: 'key risks', 'material adverse factors', 'regulatory risks', 'litigation', 'competition'</w:t>
      </w:r>
    </w:p>
    <w:p>
      <w:pPr>
        <w:pStyle w:val="ListParagraph"/>
        <w:numPr>
          <w:ilvl w:val="0"/>
          <w:numId w:val="2"/>
        </w:numPr>
        <w:spacing w:before="60" w:after="60"/>
      </w:pPr>
      <w:r>
        <w:rPr>
          <w:rFonts w:ascii="Arial" w:cs="Arial" w:eastAsia="Arial" w:hAnsi="Arial"/>
          <w:color w:val="1E293B"/>
          <w:sz w:val="22"/>
          <w:szCs w:val="22"/>
        </w:rPr>
        <w:t xml:space="preserve">Valuation insights: 'fair value estimates', 'segment profitability', 'margin guidance', 'capex plans'</w:t>
      </w:r>
    </w:p>
    <w:p>
      <w:pPr>
        <w:pStyle w:val="ListParagraph"/>
        <w:numPr>
          <w:ilvl w:val="0"/>
          <w:numId w:val="2"/>
        </w:numPr>
        <w:spacing w:before="60" w:after="60"/>
      </w:pPr>
      <w:r>
        <w:rPr>
          <w:rFonts w:ascii="Arial" w:cs="Arial" w:eastAsia="Arial" w:hAnsi="Arial"/>
          <w:color w:val="1E293B"/>
          <w:sz w:val="22"/>
          <w:szCs w:val="22"/>
        </w:rPr>
        <w:t xml:space="preserve">Cash flow quality: 'working capital', 'cash conversion cycle', 'free cash flow generation'</w:t>
      </w:r>
    </w:p>
    <w:p>
      <w:pPr>
        <w:pStyle w:val="ListParagraph"/>
        <w:numPr>
          <w:ilvl w:val="0"/>
          <w:numId w:val="2"/>
        </w:numPr>
        <w:spacing w:before="60" w:after="60"/>
      </w:pPr>
      <w:r>
        <w:rPr>
          <w:rFonts w:ascii="Arial" w:cs="Arial" w:eastAsia="Arial" w:hAnsi="Arial"/>
          <w:color w:val="1E293B"/>
          <w:sz w:val="22"/>
          <w:szCs w:val="22"/>
        </w:rPr>
        <w:t xml:space="preserve">Forward guidance: 'next quarter guidance', 'annual revenue target', 'margin expansion initiatives'</w:t>
      </w:r>
    </w:p>
    <w:p>
      <w:pPr>
        <w:pStyle w:val="Heading3"/>
        <w:spacing w:before="240" w:after="120"/>
      </w:pPr>
      <w:r>
        <w:rPr>
          <w:rFonts w:ascii="Arial" w:cs="Arial" w:eastAsia="Arial" w:hAnsi="Arial"/>
          <w:b/>
          <w:bCs/>
          <w:color w:val="1E3A5F"/>
          <w:sz w:val="24"/>
          <w:szCs w:val="24"/>
        </w:rPr>
        <w:t xml:space="preserve">Step 4: LLM Synthesis</w:t>
      </w:r>
    </w:p>
    <w:p>
      <w:pPr>
        <w:spacing w:before="80" w:after="100"/>
      </w:pPr>
      <w:r>
        <w:rPr>
          <w:rFonts w:ascii="Arial" w:cs="Arial" w:eastAsia="Arial" w:hAnsi="Arial"/>
          <w:color w:val="1E293B"/>
          <w:sz w:val="22"/>
          <w:szCs w:val="22"/>
        </w:rPr>
        <w:t xml:space="preserve">Retrieved chunks (top-k=5 per query) are passed to the LLM with a structured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00"/>
              <w:bottom w:type="dxa" w:w="80"/>
              <w:right w:type="dxa" w:w="200"/>
            </w:tcMar>
          </w:tcPr>
          <w:p>
            <w:pPr>
              <w:spacing w:before="60" w:after="80"/>
            </w:pPr>
            <w:r>
              <w:rPr>
                <w:rFonts w:ascii="Arial" w:cs="Arial" w:eastAsia="Arial" w:hAnsi="Arial"/>
                <w:b/>
                <w:bCs/>
                <w:color w:val="C2410C"/>
                <w:sz w:val="22"/>
                <w:szCs w:val="22"/>
              </w:rPr>
              <w:t xml:space="preserve">RAG Synthesis Prompt Template</w:t>
            </w:r>
          </w:p>
          <w:p>
            <w:pPr>
              <w:spacing w:before="40" w:after="40"/>
            </w:pPr>
            <w:r>
              <w:rPr>
                <w:rFonts w:ascii="Arial" w:cs="Arial" w:eastAsia="Arial" w:hAnsi="Arial"/>
                <w:color w:val="1E293B"/>
                <w:sz w:val="20"/>
                <w:szCs w:val="20"/>
              </w:rPr>
              <w:t xml:space="preserve">System: You are a financial analyst. Extract structured information from these filing excerpts.</w:t>
            </w:r>
          </w:p>
          <w:p>
            <w:pPr>
              <w:spacing w:before="40" w:after="40"/>
            </w:pPr>
            <w:r>
              <w:rPr>
                <w:rFonts w:ascii="Arial" w:cs="Arial" w:eastAsia="Arial" w:hAnsi="Arial"/>
                <w:color w:val="1E293B"/>
                <w:sz w:val="20"/>
                <w:szCs w:val="20"/>
              </w:rPr>
              <w:t xml:space="preserve">Extract ONLY what is explicitly stated. If a figure is not present, respond 'NOT FOUND'.</w:t>
            </w:r>
          </w:p>
          <w:p>
            <w:pPr>
              <w:spacing w:before="40" w:after="40"/>
            </w:pPr>
            <w:r>
              <w:rPr>
                <w:rFonts w:ascii="Arial" w:cs="Arial" w:eastAsia="Arial" w:hAnsi="Arial"/>
                <w:color w:val="1E293B"/>
                <w:sz w:val="20"/>
                <w:szCs w:val="20"/>
              </w:rPr>
              <w:t xml:space="preserve">Return JSON only.</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Query: [sub-query]</w:t>
            </w:r>
          </w:p>
          <w:p>
            <w:pPr>
              <w:spacing w:before="40" w:after="40"/>
            </w:pPr>
            <w:r>
              <w:rPr>
                <w:rFonts w:ascii="Arial" w:cs="Arial" w:eastAsia="Arial" w:hAnsi="Arial"/>
                <w:color w:val="1E293B"/>
                <w:sz w:val="20"/>
                <w:szCs w:val="20"/>
              </w:rPr>
              <w:t xml:space="preserve">Context: [retrieved chunks]</w:t>
            </w:r>
          </w:p>
          <w:p>
            <w:pPr>
              <w:spacing w:before="40" w:after="40"/>
            </w:pPr>
            <w:r>
              <w:rPr>
                <w:rFonts w:ascii="Arial" w:cs="Arial" w:eastAsia="Arial" w:hAnsi="Arial"/>
                <w:color w:val="1E293B"/>
                <w:sz w:val="20"/>
                <w:szCs w:val="20"/>
              </w:rPr>
              <w:t xml:space="preserve"/>
            </w:r>
          </w:p>
          <w:p>
            <w:pPr>
              <w:spacing w:before="40" w:after="40"/>
            </w:pPr>
            <w:r>
              <w:rPr>
                <w:rFonts w:ascii="Arial" w:cs="Arial" w:eastAsia="Arial" w:hAnsi="Arial"/>
                <w:color w:val="1E293B"/>
                <w:sz w:val="20"/>
                <w:szCs w:val="20"/>
              </w:rPr>
              <w:t xml:space="preserve">Required fields: value, supporting_quote (max 50 words), confidence, page_reference</w:t>
            </w:r>
          </w:p>
        </w:tc>
      </w:tr>
    </w:tbl>
    <w:p>
      <w:pPr>
        <w:spacing w:before="160" w:after="80"/>
      </w:pPr>
    </w:p>
    <w:p>
      <w:pPr>
        <w:pStyle w:val="Heading3"/>
        <w:spacing w:before="240" w:after="120"/>
      </w:pPr>
      <w:r>
        <w:rPr>
          <w:rFonts w:ascii="Arial" w:cs="Arial" w:eastAsia="Arial" w:hAnsi="Arial"/>
          <w:b/>
          <w:bCs/>
          <w:color w:val="1E3A5F"/>
          <w:sz w:val="24"/>
          <w:szCs w:val="24"/>
        </w:rPr>
        <w:t xml:space="preserve">Step 5: Financial Health Score</w:t>
      </w:r>
    </w:p>
    <w:p>
      <w:pPr>
        <w:spacing w:before="80" w:after="100"/>
      </w:pPr>
      <w:r>
        <w:rPr>
          <w:rFonts w:ascii="Arial" w:cs="Arial" w:eastAsia="Arial" w:hAnsi="Arial"/>
          <w:color w:val="1E293B"/>
          <w:sz w:val="22"/>
          <w:szCs w:val="22"/>
        </w:rPr>
        <w:t xml:space="preserve">The RAG Filing Agent computes a holistic Financial Health Score (0–100) by combining extracted data with structured financial ratios: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560"/>
        <w:gridCol w:w="26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Factor</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Weight</w:t>
            </w:r>
          </w:p>
        </w:tc>
        <w:tc>
          <w:tcPr>
            <w:tcW w:type="dxa" w:w="3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Metrics</w:t>
            </w:r>
          </w:p>
        </w:tc>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Profitability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ROE, ROCE, Net Margin, FCF Margin</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Balance sheet + P&amp;L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Liquidity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Current Ratio, Quick Ratio, Cash Days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Balance sheet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Leverage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 Interest Coverage, Debt/EBITDA</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Balance sheet + P&amp;L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Efficiency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3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Asset Turnover, Inventory Days, DSO</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P&amp;L + Balance sheet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Growth Quality</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3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Revenue CAGR (3yr), EPS CAGR, FCF Growth</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Multi-year P&amp;L</w:t>
            </w:r>
          </w:p>
        </w:tc>
      </w:tr>
    </w:tbl>
    <w:p>
      <w:pPr>
        <w:spacing w:before="160" w:after="80"/>
      </w:pPr>
    </w:p>
    <w:p>
      <w:pPr>
        <w:pStyle w:val="Heading2"/>
        <w:spacing w:before="320" w:after="160"/>
      </w:pPr>
      <w:r>
        <w:rPr>
          <w:rFonts w:ascii="Arial" w:cs="Arial" w:eastAsia="Arial" w:hAnsi="Arial"/>
          <w:b/>
          <w:bCs/>
          <w:color w:val="2563EB"/>
          <w:sz w:val="28"/>
          <w:szCs w:val="28"/>
        </w:rPr>
        <w:t xml:space="preserve">Output Schema — data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Field</w:t>
            </w:r>
          </w:p>
        </w:tc>
        <w:tc>
          <w:tcPr>
            <w:tcW w:type="dxa" w:w="2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45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financial_health_score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 (0–100)</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Composite financial health score from filing analysis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growth_metrics</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object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Revenue guidance, expansion plans, new market entries from filings</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risk_disclosures</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array</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Top 5 material risks as stated in filings with severity tags</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management_tone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'optimistic' | 'cautious' | 'neutral' | 'defensive' — NLP analysis of MD&amp;A</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guidance_delta</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Management guidance vs analyst consensus: 'above' | 'in_line' | 'below'</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capex_plan</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object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Capital expenditure plans and growth investment intent</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filing_date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date</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Date of most recent filing analysed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filing_type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e.g., '10-K FY2024', 'Q3 FY2025 10-Q', 'Annual Report 2024'</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profitability_score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 (0–30)</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Sub-score: profitability factor contribution</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liquidity_score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int (0–20)</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Sub-score: liquidity factor contribution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leverage_score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 (0–20)</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Sub-score: leverage factor contribution</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efficiency_score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int (0–15)</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Sub-score: efficiency factor contribution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growth_quality_score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 (0–15)</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Sub-score: growth quality factor contribution</w:t>
            </w:r>
          </w:p>
        </w:tc>
      </w:tr>
    </w:tbl>
    <w:p>
      <w:pPr>
        <w:pBdr>
          <w:bottom w:val="single" w:color="E2E8F0" w:sz="2"/>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BD5E1" w:sz="1"/>
              <w:left w:val="single" w:color="CBD5E1" w:sz="1"/>
              <w:bottom w:val="single" w:color="CBD5E1" w:sz="1"/>
              <w:right w:val="single" w:color="CBD5E1" w:sz="1"/>
            </w:tcBorders>
            <w:shd w:fill="1E3A5F" w:val="clear"/>
            <w:tcMar>
              <w:top w:type="dxa" w:w="160"/>
              <w:left w:type="dxa" w:w="240"/>
              <w:bottom w:type="dxa" w:w="160"/>
              <w:right w:type="dxa" w:w="240"/>
            </w:tcMar>
          </w:tcPr>
          <w:p>
            <w:pPr>
              <w:spacing w:before="40" w:after="40"/>
            </w:pPr>
            <w:r>
              <w:rPr>
                <w:rFonts w:ascii="Arial" w:cs="Arial" w:eastAsia="Arial" w:hAnsi="Arial"/>
                <w:b/>
                <w:bCs/>
                <w:color w:val="FFFFFF"/>
                <w:sz w:val="32"/>
                <w:szCs w:val="32"/>
              </w:rPr>
              <w:t xml:space="preserve">⚠️  Agent 9: Risk Agent</w:t>
            </w:r>
          </w:p>
          <w:p>
            <w:pPr>
              <w:spacing w:before="20" w:after="40"/>
            </w:pPr>
            <w:r>
              <w:rPr>
                <w:rFonts w:ascii="Arial" w:cs="Arial" w:eastAsia="Arial" w:hAnsi="Arial"/>
                <w:i/>
                <w:iCs/>
                <w:color w:val="BFDBFE"/>
                <w:sz w:val="20"/>
                <w:szCs w:val="20"/>
              </w:rPr>
              <w:t xml:space="preserve">Portfolio &amp; Systematic Risk Assessment</w:t>
            </w:r>
          </w:p>
        </w:tc>
      </w:tr>
    </w:tbl>
    <w:p>
      <w:pPr>
        <w:spacing w:before="200" w:after="100"/>
      </w:pPr>
    </w:p>
    <w:p>
      <w:pPr>
        <w:pStyle w:val="Heading2"/>
        <w:spacing w:before="320" w:after="160"/>
      </w:pPr>
      <w:r>
        <w:rPr>
          <w:rFonts w:ascii="Arial" w:cs="Arial" w:eastAsia="Arial" w:hAnsi="Arial"/>
          <w:b/>
          <w:bCs/>
          <w:color w:val="2563EB"/>
          <w:sz w:val="28"/>
          <w:szCs w:val="28"/>
        </w:rPr>
        <w:t xml:space="preserve">Purpose</w:t>
      </w:r>
    </w:p>
    <w:p>
      <w:pPr>
        <w:spacing w:before="80" w:after="100"/>
      </w:pPr>
      <w:r>
        <w:rPr>
          <w:rFonts w:ascii="Arial" w:cs="Arial" w:eastAsia="Arial" w:hAnsi="Arial"/>
          <w:color w:val="1E293B"/>
          <w:sz w:val="22"/>
          <w:szCs w:val="22"/>
        </w:rPr>
        <w:t xml:space="preserve">The Risk Agent assesses both standalone stock risk and portfolio-level risk (if portfolio data is provided). It synthesises risk signals from all other agents and computes a composite risk score to guide position sizing and risk management.</w:t>
      </w:r>
    </w:p>
    <w:p>
      <w:pPr>
        <w:pStyle w:val="Heading2"/>
        <w:spacing w:before="320" w:after="160"/>
      </w:pPr>
      <w:r>
        <w:rPr>
          <w:rFonts w:ascii="Arial" w:cs="Arial" w:eastAsia="Arial" w:hAnsi="Arial"/>
          <w:b/>
          <w:bCs/>
          <w:color w:val="2563EB"/>
          <w:sz w:val="28"/>
          <w:szCs w:val="28"/>
        </w:rPr>
        <w:t xml:space="preserve">Risk Categories &amp; Computation</w:t>
      </w:r>
    </w:p>
    <w:p>
      <w:pPr>
        <w:pStyle w:val="Heading3"/>
        <w:spacing w:before="240" w:after="120"/>
      </w:pPr>
      <w:r>
        <w:rPr>
          <w:rFonts w:ascii="Arial" w:cs="Arial" w:eastAsia="Arial" w:hAnsi="Arial"/>
          <w:b/>
          <w:bCs/>
          <w:color w:val="1E3A5F"/>
          <w:sz w:val="24"/>
          <w:szCs w:val="24"/>
        </w:rPr>
        <w:t xml:space="preserve">1. Volatility Risk</w:t>
      </w:r>
    </w:p>
    <w:p>
      <w:pPr>
        <w:pStyle w:val="ListParagraph"/>
        <w:numPr>
          <w:ilvl w:val="0"/>
          <w:numId w:val="2"/>
        </w:numPr>
        <w:spacing w:before="60" w:after="60"/>
      </w:pPr>
      <w:r>
        <w:rPr>
          <w:rFonts w:ascii="Arial" w:cs="Arial" w:eastAsia="Arial" w:hAnsi="Arial"/>
          <w:color w:val="1E293B"/>
          <w:sz w:val="22"/>
          <w:szCs w:val="22"/>
        </w:rPr>
        <w:t xml:space="preserve">Historical Volatility (20-day HV): Annualised standard deviation of daily log returns</w:t>
      </w:r>
    </w:p>
    <w:p>
      <w:pPr>
        <w:pStyle w:val="ListParagraph"/>
        <w:numPr>
          <w:ilvl w:val="0"/>
          <w:numId w:val="2"/>
        </w:numPr>
        <w:spacing w:before="60" w:after="60"/>
      </w:pPr>
      <w:r>
        <w:rPr>
          <w:rFonts w:ascii="Arial" w:cs="Arial" w:eastAsia="Arial" w:hAnsi="Arial"/>
          <w:color w:val="1E293B"/>
          <w:sz w:val="22"/>
          <w:szCs w:val="22"/>
        </w:rPr>
        <w:t xml:space="preserve">Beta: Regression of stock returns vs Nifty 50 / S&amp;P 500 returns over 1 year</w:t>
      </w:r>
    </w:p>
    <w:p>
      <w:pPr>
        <w:pStyle w:val="ListParagraph"/>
        <w:numPr>
          <w:ilvl w:val="0"/>
          <w:numId w:val="2"/>
        </w:numPr>
        <w:spacing w:before="60" w:after="60"/>
      </w:pPr>
      <w:r>
        <w:rPr>
          <w:rFonts w:ascii="Arial" w:cs="Arial" w:eastAsia="Arial" w:hAnsi="Arial"/>
          <w:color w:val="1E293B"/>
          <w:sz w:val="22"/>
          <w:szCs w:val="22"/>
        </w:rPr>
        <w:t xml:space="preserve">Beta &gt; 1.5: High-beta stock — amplified market moves; &gt; 2.0 = speculative</w:t>
      </w:r>
    </w:p>
    <w:p>
      <w:pPr>
        <w:pStyle w:val="ListParagraph"/>
        <w:numPr>
          <w:ilvl w:val="0"/>
          <w:numId w:val="2"/>
        </w:numPr>
        <w:spacing w:before="60" w:after="60"/>
      </w:pPr>
      <w:r>
        <w:rPr>
          <w:rFonts w:ascii="Arial" w:cs="Arial" w:eastAsia="Arial" w:hAnsi="Arial"/>
          <w:color w:val="1E293B"/>
          <w:sz w:val="22"/>
          <w:szCs w:val="22"/>
        </w:rPr>
        <w:t xml:space="preserve">Max Drawdown (1 year): Maximum peak-to-trough decline. &gt; 40% = high risk stock</w:t>
      </w:r>
    </w:p>
    <w:p>
      <w:pPr>
        <w:pStyle w:val="ListParagraph"/>
        <w:numPr>
          <w:ilvl w:val="0"/>
          <w:numId w:val="2"/>
        </w:numPr>
        <w:spacing w:before="60" w:after="60"/>
      </w:pPr>
      <w:r>
        <w:rPr>
          <w:rFonts w:ascii="Arial" w:cs="Arial" w:eastAsia="Arial" w:hAnsi="Arial"/>
          <w:color w:val="1E293B"/>
          <w:sz w:val="22"/>
          <w:szCs w:val="22"/>
        </w:rPr>
        <w:t xml:space="preserve">VaR (Value at Risk, 95%, 1-day): Parametric VaR = 1.645 × daily_vol × position_value</w:t>
      </w:r>
    </w:p>
    <w:p>
      <w:pPr>
        <w:pStyle w:val="Heading3"/>
        <w:spacing w:before="240" w:after="120"/>
      </w:pPr>
      <w:r>
        <w:rPr>
          <w:rFonts w:ascii="Arial" w:cs="Arial" w:eastAsia="Arial" w:hAnsi="Arial"/>
          <w:b/>
          <w:bCs/>
          <w:color w:val="1E3A5F"/>
          <w:sz w:val="24"/>
          <w:szCs w:val="24"/>
        </w:rPr>
        <w:t xml:space="preserve">2. Sector &amp; Concentration Risk</w:t>
      </w:r>
    </w:p>
    <w:p>
      <w:pPr>
        <w:pStyle w:val="ListParagraph"/>
        <w:numPr>
          <w:ilvl w:val="0"/>
          <w:numId w:val="2"/>
        </w:numPr>
        <w:spacing w:before="60" w:after="60"/>
      </w:pPr>
      <w:r>
        <w:rPr>
          <w:rFonts w:ascii="Arial" w:cs="Arial" w:eastAsia="Arial" w:hAnsi="Arial"/>
          <w:color w:val="1E293B"/>
          <w:sz w:val="22"/>
          <w:szCs w:val="22"/>
        </w:rPr>
        <w:t xml:space="preserve">Sector beta: Sector ETF correlation and sector-level volatility</w:t>
      </w:r>
    </w:p>
    <w:p>
      <w:pPr>
        <w:pStyle w:val="ListParagraph"/>
        <w:numPr>
          <w:ilvl w:val="0"/>
          <w:numId w:val="2"/>
        </w:numPr>
        <w:spacing w:before="60" w:after="60"/>
      </w:pPr>
      <w:r>
        <w:rPr>
          <w:rFonts w:ascii="Arial" w:cs="Arial" w:eastAsia="Arial" w:hAnsi="Arial"/>
          <w:color w:val="1E293B"/>
          <w:sz w:val="22"/>
          <w:szCs w:val="22"/>
        </w:rPr>
        <w:t xml:space="preserve">If portfolio provided: Sector concentration (&gt; 30% in one sector = concentration warning)</w:t>
      </w:r>
    </w:p>
    <w:p>
      <w:pPr>
        <w:pStyle w:val="ListParagraph"/>
        <w:numPr>
          <w:ilvl w:val="0"/>
          <w:numId w:val="2"/>
        </w:numPr>
        <w:spacing w:before="60" w:after="60"/>
      </w:pPr>
      <w:r>
        <w:rPr>
          <w:rFonts w:ascii="Arial" w:cs="Arial" w:eastAsia="Arial" w:hAnsi="Arial"/>
          <w:color w:val="1E293B"/>
          <w:sz w:val="22"/>
          <w:szCs w:val="22"/>
        </w:rPr>
        <w:t xml:space="preserve">Correlation matrix: Identify correlated positions that move together</w:t>
      </w:r>
    </w:p>
    <w:p>
      <w:pPr>
        <w:pStyle w:val="Heading3"/>
        <w:spacing w:before="240" w:after="120"/>
      </w:pPr>
      <w:r>
        <w:rPr>
          <w:rFonts w:ascii="Arial" w:cs="Arial" w:eastAsia="Arial" w:hAnsi="Arial"/>
          <w:b/>
          <w:bCs/>
          <w:color w:val="1E3A5F"/>
          <w:sz w:val="24"/>
          <w:szCs w:val="24"/>
        </w:rPr>
        <w:t xml:space="preserve">3. Liquidity Risk</w:t>
      </w:r>
    </w:p>
    <w:p>
      <w:pPr>
        <w:pStyle w:val="ListParagraph"/>
        <w:numPr>
          <w:ilvl w:val="0"/>
          <w:numId w:val="2"/>
        </w:numPr>
        <w:spacing w:before="60" w:after="60"/>
      </w:pPr>
      <w:r>
        <w:rPr>
          <w:rFonts w:ascii="Arial" w:cs="Arial" w:eastAsia="Arial" w:hAnsi="Arial"/>
          <w:color w:val="1E293B"/>
          <w:sz w:val="22"/>
          <w:szCs w:val="22"/>
        </w:rPr>
        <w:t xml:space="preserve">Average daily trading volume (20-day): Small/mid-cap with &lt; Rs 5 Cr average daily volume = liquidity risk</w:t>
      </w:r>
    </w:p>
    <w:p>
      <w:pPr>
        <w:pStyle w:val="ListParagraph"/>
        <w:numPr>
          <w:ilvl w:val="0"/>
          <w:numId w:val="2"/>
        </w:numPr>
        <w:spacing w:before="60" w:after="60"/>
      </w:pPr>
      <w:r>
        <w:rPr>
          <w:rFonts w:ascii="Arial" w:cs="Arial" w:eastAsia="Arial" w:hAnsi="Arial"/>
          <w:color w:val="1E293B"/>
          <w:sz w:val="22"/>
          <w:szCs w:val="22"/>
        </w:rPr>
        <w:t xml:space="preserve">Impact cost: NSE publishes official impact cost for all stocks — high impact cost = high liquidity risk</w:t>
      </w:r>
    </w:p>
    <w:p>
      <w:pPr>
        <w:pStyle w:val="ListParagraph"/>
        <w:numPr>
          <w:ilvl w:val="0"/>
          <w:numId w:val="2"/>
        </w:numPr>
        <w:spacing w:before="60" w:after="60"/>
      </w:pPr>
      <w:r>
        <w:rPr>
          <w:rFonts w:ascii="Arial" w:cs="Arial" w:eastAsia="Arial" w:hAnsi="Arial"/>
          <w:color w:val="1E293B"/>
          <w:sz w:val="22"/>
          <w:szCs w:val="22"/>
        </w:rPr>
        <w:t xml:space="preserve">Free float %: &lt; 20% free float = liquidity and manipulation risk</w:t>
      </w:r>
    </w:p>
    <w:p>
      <w:pPr>
        <w:pStyle w:val="Heading3"/>
        <w:spacing w:before="240" w:after="120"/>
      </w:pPr>
      <w:r>
        <w:rPr>
          <w:rFonts w:ascii="Arial" w:cs="Arial" w:eastAsia="Arial" w:hAnsi="Arial"/>
          <w:b/>
          <w:bCs/>
          <w:color w:val="1E3A5F"/>
          <w:sz w:val="24"/>
          <w:szCs w:val="24"/>
        </w:rPr>
        <w:t xml:space="preserve">4. Fundamental Risk</w:t>
      </w:r>
    </w:p>
    <w:p>
      <w:pPr>
        <w:pStyle w:val="ListParagraph"/>
        <w:numPr>
          <w:ilvl w:val="0"/>
          <w:numId w:val="2"/>
        </w:numPr>
        <w:spacing w:before="60" w:after="60"/>
      </w:pPr>
      <w:r>
        <w:rPr>
          <w:rFonts w:ascii="Arial" w:cs="Arial" w:eastAsia="Arial" w:hAnsi="Arial"/>
          <w:color w:val="1E293B"/>
          <w:sz w:val="22"/>
          <w:szCs w:val="22"/>
        </w:rPr>
        <w:t xml:space="preserve">D/E &gt; 2.0: Financial leverage risk — amplifies earnings volatility</w:t>
      </w:r>
    </w:p>
    <w:p>
      <w:pPr>
        <w:pStyle w:val="ListParagraph"/>
        <w:numPr>
          <w:ilvl w:val="0"/>
          <w:numId w:val="2"/>
        </w:numPr>
        <w:spacing w:before="60" w:after="60"/>
      </w:pPr>
      <w:r>
        <w:rPr>
          <w:rFonts w:ascii="Arial" w:cs="Arial" w:eastAsia="Arial" w:hAnsi="Arial"/>
          <w:color w:val="1E293B"/>
          <w:sz w:val="22"/>
          <w:szCs w:val="22"/>
        </w:rPr>
        <w:t xml:space="preserve">Negative FCF for 2+ consecutive years: Cash burn risk</w:t>
      </w:r>
    </w:p>
    <w:p>
      <w:pPr>
        <w:pStyle w:val="ListParagraph"/>
        <w:numPr>
          <w:ilvl w:val="0"/>
          <w:numId w:val="2"/>
        </w:numPr>
        <w:spacing w:before="60" w:after="60"/>
      </w:pPr>
      <w:r>
        <w:rPr>
          <w:rFonts w:ascii="Arial" w:cs="Arial" w:eastAsia="Arial" w:hAnsi="Arial"/>
          <w:color w:val="1E293B"/>
          <w:sz w:val="22"/>
          <w:szCs w:val="22"/>
        </w:rPr>
        <w:t xml:space="preserve">Revenue concentration: Top 3 clients &gt; 50% of revenue = key account risk</w:t>
      </w:r>
    </w:p>
    <w:p>
      <w:pPr>
        <w:pStyle w:val="Heading3"/>
        <w:spacing w:before="240" w:after="120"/>
      </w:pPr>
      <w:r>
        <w:rPr>
          <w:rFonts w:ascii="Arial" w:cs="Arial" w:eastAsia="Arial" w:hAnsi="Arial"/>
          <w:b/>
          <w:bCs/>
          <w:color w:val="1E3A5F"/>
          <w:sz w:val="24"/>
          <w:szCs w:val="24"/>
        </w:rPr>
        <w:t xml:space="preserve">5. Event Risk</w:t>
      </w:r>
    </w:p>
    <w:p>
      <w:pPr>
        <w:pStyle w:val="ListParagraph"/>
        <w:numPr>
          <w:ilvl w:val="0"/>
          <w:numId w:val="2"/>
        </w:numPr>
        <w:spacing w:before="60" w:after="60"/>
      </w:pPr>
      <w:r>
        <w:rPr>
          <w:rFonts w:ascii="Arial" w:cs="Arial" w:eastAsia="Arial" w:hAnsi="Arial"/>
          <w:color w:val="1E293B"/>
          <w:sz w:val="22"/>
          <w:szCs w:val="22"/>
        </w:rPr>
        <w:t xml:space="preserve">Upcoming earnings (within 2 weeks): Increases short-term volatility by 2–3x average</w:t>
      </w:r>
    </w:p>
    <w:p>
      <w:pPr>
        <w:pStyle w:val="ListParagraph"/>
        <w:numPr>
          <w:ilvl w:val="0"/>
          <w:numId w:val="2"/>
        </w:numPr>
        <w:spacing w:before="60" w:after="60"/>
      </w:pPr>
      <w:r>
        <w:rPr>
          <w:rFonts w:ascii="Arial" w:cs="Arial" w:eastAsia="Arial" w:hAnsi="Arial"/>
          <w:color w:val="1E293B"/>
          <w:sz w:val="22"/>
          <w:szCs w:val="22"/>
        </w:rPr>
        <w:t xml:space="preserve">Regulatory environment: Pending sector-specific regulation changes</w:t>
      </w:r>
    </w:p>
    <w:p>
      <w:pPr>
        <w:pStyle w:val="ListParagraph"/>
        <w:numPr>
          <w:ilvl w:val="0"/>
          <w:numId w:val="2"/>
        </w:numPr>
        <w:spacing w:before="60" w:after="60"/>
      </w:pPr>
      <w:r>
        <w:rPr>
          <w:rFonts w:ascii="Arial" w:cs="Arial" w:eastAsia="Arial" w:hAnsi="Arial"/>
          <w:color w:val="1E293B"/>
          <w:sz w:val="22"/>
          <w:szCs w:val="22"/>
        </w:rPr>
        <w:t xml:space="preserve">AGM / corporate actions: Dividend ex-date, bonus issue, rights offering</w:t>
      </w:r>
    </w:p>
    <w:p>
      <w:pPr>
        <w:pStyle w:val="Heading3"/>
        <w:spacing w:before="240" w:after="120"/>
      </w:pPr>
      <w:r>
        <w:rPr>
          <w:rFonts w:ascii="Arial" w:cs="Arial" w:eastAsia="Arial" w:hAnsi="Arial"/>
          <w:b/>
          <w:bCs/>
          <w:color w:val="1E3A5F"/>
          <w:sz w:val="24"/>
          <w:szCs w:val="24"/>
        </w:rPr>
        <w:t xml:space="preserve">6. Governance Risk (from Agent 7)</w:t>
      </w:r>
    </w:p>
    <w:p>
      <w:pPr>
        <w:pStyle w:val="ListParagraph"/>
        <w:numPr>
          <w:ilvl w:val="0"/>
          <w:numId w:val="2"/>
        </w:numPr>
        <w:spacing w:before="60" w:after="60"/>
      </w:pPr>
      <w:r>
        <w:rPr>
          <w:rFonts w:ascii="Arial" w:cs="Arial" w:eastAsia="Arial" w:hAnsi="Arial"/>
          <w:color w:val="1E293B"/>
          <w:sz w:val="22"/>
          <w:szCs w:val="22"/>
        </w:rPr>
        <w:t xml:space="preserve">Any CRITICAL red flag from Governance Agent → automatically elevates Risk Score by 20 points</w:t>
      </w:r>
    </w:p>
    <w:p>
      <w:pPr>
        <w:pStyle w:val="ListParagraph"/>
        <w:numPr>
          <w:ilvl w:val="0"/>
          <w:numId w:val="2"/>
        </w:numPr>
        <w:spacing w:before="60" w:after="60"/>
      </w:pPr>
      <w:r>
        <w:rPr>
          <w:rFonts w:ascii="Arial" w:cs="Arial" w:eastAsia="Arial" w:hAnsi="Arial"/>
          <w:color w:val="1E293B"/>
          <w:sz w:val="22"/>
          <w:szCs w:val="22"/>
        </w:rPr>
        <w:t xml:space="preserve">Promoter pledge &gt; 50% → add 15 points to risk score</w:t>
      </w:r>
    </w:p>
    <w:p>
      <w:pPr>
        <w:pStyle w:val="Heading3"/>
        <w:spacing w:before="240" w:after="120"/>
      </w:pPr>
      <w:r>
        <w:rPr>
          <w:rFonts w:ascii="Arial" w:cs="Arial" w:eastAsia="Arial" w:hAnsi="Arial"/>
          <w:b/>
          <w:bCs/>
          <w:color w:val="1E3A5F"/>
          <w:sz w:val="24"/>
          <w:szCs w:val="24"/>
        </w:rPr>
        <w:t xml:space="preserve">Risk 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60"/>
        <w:gridCol w:w="3000"/>
      </w:tblGrid>
      <w:tr>
        <w:trPr>
          <w:tblHeader/>
        </w:trPr>
        <w:tc>
          <w:tcPr>
            <w:tcW w:type="dxa" w:w="3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Component</w:t>
            </w:r>
          </w:p>
        </w:tc>
        <w:tc>
          <w:tcPr>
            <w:tcW w:type="dxa" w:w="2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Max Points (Risk Score)</w:t>
            </w:r>
          </w:p>
        </w:tc>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Threshold</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Volatility / Beta</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25</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Beta &gt; 2.0 = full 25 pts; HV &gt; 50% ann = +15</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Liquidity</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Rs 5Cr daily vol = +15; impact cost &gt; 1% = +10</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Fundamental Risk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 &gt; 2.0 = +15; negative FCF = +10</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Governance Red Flags</w:t>
            </w:r>
          </w:p>
        </w:tc>
        <w:tc>
          <w:tcPr>
            <w:tcW w:type="dxa" w:w="2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Critical flag = +20; High flag = +10</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Sector / Event Risk</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Earnings in &lt;2 wks = +10; regulatory risk = +5</w:t>
            </w:r>
          </w:p>
        </w:tc>
      </w:tr>
    </w:tbl>
    <w:p>
      <w:pPr>
        <w:spacing w:before="120" w:after="60"/>
      </w:pPr>
      <w:r>
        <w:rPr>
          <w:rFonts w:ascii="Arial" w:cs="Arial" w:eastAsia="Arial" w:hAnsi="Arial"/>
          <w:i/>
          <w:iCs/>
          <w:color w:val="64748B"/>
          <w:sz w:val="20"/>
          <w:szCs w:val="20"/>
        </w:rPr>
        <w:t xml:space="preserve">Risk Score Interpretation: 0–30 = Low Risk (Green), 31–55 = Medium Risk (Yellow), 56–75 = High Risk (Orange), 76–100 = Very High Risk (Red)</w:t>
      </w:r>
    </w:p>
    <w:p>
      <w:pPr>
        <w:pStyle w:val="Heading2"/>
        <w:spacing w:before="320" w:after="160"/>
      </w:pPr>
      <w:r>
        <w:rPr>
          <w:rFonts w:ascii="Arial" w:cs="Arial" w:eastAsia="Arial" w:hAnsi="Arial"/>
          <w:b/>
          <w:bCs/>
          <w:color w:val="2563EB"/>
          <w:sz w:val="28"/>
          <w:szCs w:val="28"/>
        </w:rPr>
        <w:t xml:space="preserve">Output Schema — data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Field</w:t>
            </w:r>
          </w:p>
        </w:tc>
        <w:tc>
          <w:tcPr>
            <w:tcW w:type="dxa" w:w="200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Type</w:t>
            </w:r>
          </w:p>
        </w:tc>
        <w:tc>
          <w:tcPr>
            <w:tcW w:type="dxa" w:w="4560"/>
            <w:tcBorders>
              <w:top w:val="single" w:color="CBD5E1" w:sz="1"/>
              <w:left w:val="single" w:color="CBD5E1" w:sz="1"/>
              <w:bottom w:val="single" w:color="CBD5E1" w:sz="1"/>
              <w:right w:val="single" w:color="CBD5E1" w:sz="1"/>
            </w:tcBorders>
            <w:shd w:fill="E2E8F0" w:val="clear"/>
            <w:tcMar>
              <w:top w:type="dxa" w:w="60"/>
              <w:left w:type="dxa" w:w="120"/>
              <w:bottom w:type="dxa" w:w="60"/>
              <w:right w:type="dxa" w:w="120"/>
            </w:tcMar>
          </w:tcPr>
          <w:p>
            <w:r>
              <w:rPr>
                <w:rFonts w:ascii="Arial" w:cs="Arial" w:eastAsia="Arial" w:hAnsi="Arial"/>
                <w:b/>
                <w:bCs/>
                <w:color w:val="1E3A5F"/>
                <w:sz w:val="20"/>
                <w:szCs w:val="20"/>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risk_score</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int (0–100)</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Composite risk score (higher = more risky)</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risk_tier</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'low' | 'medium' | 'high' | 'very_high'</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beta</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Stock beta vs relevant index over 1 year</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historical_volatility_20d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20-day annualised historical volatility (%)</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max_drawdown_1yr</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Maximum 1-year peak-to-trough drawdown (%)</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var_95_1d</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1-day 95% VaR as percentage of position value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liquidity_risk_flag</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bool</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True if average daily volume below threshold</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recommended_position_size</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Suggested position size as % of portfolio based on risk score</w:t>
            </w:r>
          </w:p>
        </w:tc>
      </w:tr>
      <w:tr>
        <w:tc>
          <w:tcPr>
            <w:tcW w:type="dxa" w:w="28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1E40AF"/>
                <w:sz w:val="20"/>
                <w:szCs w:val="20"/>
              </w:rPr>
              <w:t xml:space="preserve">stop_loss_suggestion</w:t>
            </w:r>
          </w:p>
        </w:tc>
        <w:tc>
          <w:tcPr>
            <w:tcW w:type="dxa" w:w="200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Courier New" w:cs="Courier New" w:eastAsia="Courier New" w:hAnsi="Courier New"/>
                <w:color w:val="065F46"/>
                <w:sz w:val="20"/>
                <w:szCs w:val="20"/>
              </w:rPr>
              <w:t xml:space="preserve">float</w:t>
            </w:r>
          </w:p>
        </w:tc>
        <w:tc>
          <w:tcPr>
            <w:tcW w:type="dxa" w:w="4560"/>
            <w:tcBorders>
              <w:top w:val="single" w:color="CBD5E1" w:sz="1"/>
              <w:left w:val="single" w:color="CBD5E1" w:sz="1"/>
              <w:bottom w:val="single" w:color="CBD5E1" w:sz="1"/>
              <w:right w:val="single" w:color="CBD5E1"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ATR-based stop-loss level (2×ATR below current price)</w:t>
            </w:r>
          </w:p>
        </w:tc>
      </w:tr>
      <w:tr>
        <w:tc>
          <w:tcPr>
            <w:tcW w:type="dxa" w:w="28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1E40AF"/>
                <w:sz w:val="20"/>
                <w:szCs w:val="20"/>
              </w:rPr>
              <w:t xml:space="preserve">risk_summary</w:t>
            </w:r>
          </w:p>
        </w:tc>
        <w:tc>
          <w:tcPr>
            <w:tcW w:type="dxa" w:w="200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Courier New" w:cs="Courier New" w:eastAsia="Courier New" w:hAnsi="Courier New"/>
                <w:color w:val="065F46"/>
                <w:sz w:val="20"/>
                <w:szCs w:val="20"/>
              </w:rPr>
              <w:t xml:space="preserve">string</w:t>
            </w:r>
          </w:p>
        </w:tc>
        <w:tc>
          <w:tcPr>
            <w:tcW w:type="dxa" w:w="4560"/>
            <w:tcBorders>
              <w:top w:val="single" w:color="CBD5E1" w:sz="1"/>
              <w:left w:val="single" w:color="CBD5E1" w:sz="1"/>
              <w:bottom w:val="single" w:color="CBD5E1" w:sz="1"/>
              <w:right w:val="single" w:color="CBD5E1"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2–3 sentence narrative summary of key risks</w:t>
            </w:r>
          </w:p>
        </w:tc>
      </w:tr>
    </w:tbl>
    <w:p>
      <w:pPr>
        <w:pBdr>
          <w:bottom w:val="single" w:color="E2E8F0" w:sz="2"/>
        </w:pBdr>
        <w:spacing w:before="200" w:after="200"/>
      </w:pPr>
    </w:p>
    <w:p>
      <w:pPr>
        <w:pStyle w:val="Heading1"/>
        <w:pBdr>
          <w:bottom w:val="single" w:color="2563EB" w:sz="4"/>
        </w:pBdr>
        <w:spacing w:before="400" w:after="200"/>
      </w:pPr>
      <w:r>
        <w:rPr>
          <w:rFonts w:ascii="Arial" w:cs="Arial" w:eastAsia="Arial" w:hAnsi="Arial"/>
          <w:b/>
          <w:bCs/>
          <w:color w:val="1E3A5F"/>
          <w:sz w:val="36"/>
          <w:szCs w:val="36"/>
        </w:rPr>
        <w:t xml:space="preserve">10. Orchestrator Logic</w:t>
      </w:r>
    </w:p>
    <w:p>
      <w:pPr>
        <w:spacing w:before="80" w:after="100"/>
      </w:pPr>
      <w:r>
        <w:rPr>
          <w:rFonts w:ascii="Arial" w:cs="Arial" w:eastAsia="Arial" w:hAnsi="Arial"/>
          <w:color w:val="1E293B"/>
          <w:sz w:val="22"/>
          <w:szCs w:val="22"/>
        </w:rPr>
        <w:t xml:space="preserve">The Orchestrator is the only entity in the system permitted to make a final BUY/HOLD/SELL recommendation. It cannot add new information — it can only synthesise and resolve conflicts from agent outputs.</w:t>
      </w:r>
    </w:p>
    <w:p>
      <w:pPr>
        <w:pStyle w:val="Heading2"/>
        <w:spacing w:before="320" w:after="160"/>
      </w:pPr>
      <w:r>
        <w:rPr>
          <w:rFonts w:ascii="Arial" w:cs="Arial" w:eastAsia="Arial" w:hAnsi="Arial"/>
          <w:b/>
          <w:bCs/>
          <w:color w:val="2563EB"/>
          <w:sz w:val="28"/>
          <w:szCs w:val="28"/>
        </w:rPr>
        <w:t xml:space="preserve">10.1 Confidence-Weighted Scoring Model</w:t>
      </w:r>
    </w:p>
    <w:p>
      <w:pPr>
        <w:spacing w:before="80" w:after="100"/>
      </w:pPr>
      <w:r>
        <w:rPr>
          <w:rFonts w:ascii="Arial" w:cs="Arial" w:eastAsia="Arial" w:hAnsi="Arial"/>
          <w:color w:val="1E293B"/>
          <w:sz w:val="22"/>
          <w:szCs w:val="22"/>
        </w:rPr>
        <w:t xml:space="preserve">Each agent's signal is converted to a numeric score, multiplied by its weight AND its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760"/>
        <w:gridCol w:w="2300"/>
      </w:tblGrid>
      <w:tr>
        <w:trPr>
          <w:tblHeader/>
        </w:trP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 Weight</w:t>
            </w:r>
          </w:p>
        </w:tc>
        <w:tc>
          <w:tcPr>
            <w:tcW w:type="dxa" w:w="2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Mapping</w:t>
            </w:r>
          </w:p>
        </w:tc>
        <w:tc>
          <w:tcPr>
            <w:tcW w:type="dxa" w:w="23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Adjusted Formula</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Fundamental</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Bullish=80, Neutral=50, Bearish=20</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score × weight × confidence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Technical</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Bullish=80, Neutral=50, Bearish=20</w:t>
            </w:r>
          </w:p>
        </w:tc>
        <w:tc>
          <w:tcPr>
            <w:tcW w:type="dxa" w:w="2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score × weight × confidence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Governance/Fraud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Score=0–100 from agent</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score × weight × confidence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Financial Health (RAG)</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15%</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Score=0–100 from agent</w:t>
            </w:r>
          </w:p>
        </w:tc>
        <w:tc>
          <w:tcPr>
            <w:tcW w:type="dxa" w:w="2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score × weight × confidence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Sentiment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Bullish=80, Neutral=50, Bearish=20</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score × weight × confidence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Macro</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Bullish=80, Neutral=50, Bearish=20</w:t>
            </w:r>
          </w:p>
        </w:tc>
        <w:tc>
          <w:tcPr>
            <w:tcW w:type="dxa" w:w="2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score × weight × confidence</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PEAD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Bullish=80, Neutral=50, Bearish=20</w:t>
            </w:r>
          </w:p>
        </w:tc>
        <w:tc>
          <w:tcPr>
            <w:tcW w:type="dxa" w:w="23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score × weight × confidence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Insider</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Bullish=80, Neutral=50, Bearish=20</w:t>
            </w:r>
          </w:p>
        </w:tc>
        <w:tc>
          <w:tcPr>
            <w:tcW w:type="dxa" w:w="23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score × weight × confidence</w:t>
            </w:r>
          </w:p>
        </w:tc>
      </w:tr>
    </w:tbl>
    <w:p>
      <w:pPr>
        <w:spacing w:before="160" w:after="80"/>
      </w:pPr>
    </w:p>
    <w:p>
      <w:pPr>
        <w:pStyle w:val="Heading2"/>
        <w:spacing w:before="320" w:after="160"/>
      </w:pPr>
      <w:r>
        <w:rPr>
          <w:rFonts w:ascii="Arial" w:cs="Arial" w:eastAsia="Arial" w:hAnsi="Arial"/>
          <w:b/>
          <w:bCs/>
          <w:color w:val="2563EB"/>
          <w:sz w:val="28"/>
          <w:szCs w:val="28"/>
        </w:rPr>
        <w:t xml:space="preserve">10.2 Conflict Detection &amp; Resolution</w:t>
      </w:r>
    </w:p>
    <w:p>
      <w:pPr>
        <w:spacing w:before="80" w:after="100"/>
      </w:pPr>
      <w:r>
        <w:rPr>
          <w:rFonts w:ascii="Arial" w:cs="Arial" w:eastAsia="Arial" w:hAnsi="Arial"/>
          <w:color w:val="1E293B"/>
          <w:sz w:val="22"/>
          <w:szCs w:val="22"/>
        </w:rPr>
        <w:t xml:space="preserve">The Orchestrator scans all agent outputs for conflicts. A conflict is defined as two or more agents with high confidence (&gt; 0.7) producing opposing signals (bullish vs bearish).</w:t>
      </w:r>
    </w:p>
    <w:p>
      <w:pPr>
        <w:pStyle w:val="ListParagraph"/>
        <w:numPr>
          <w:ilvl w:val="0"/>
          <w:numId w:val="2"/>
        </w:numPr>
        <w:spacing w:before="60" w:after="60"/>
      </w:pPr>
      <w:r>
        <w:rPr>
          <w:rFonts w:ascii="Arial" w:cs="Arial" w:eastAsia="Arial" w:hAnsi="Arial"/>
          <w:color w:val="1E293B"/>
          <w:sz w:val="22"/>
          <w:szCs w:val="22"/>
        </w:rPr>
        <w:t xml:space="preserve">Technical bullish + Sentiment bearish: Look at recency of news vs price action. Technical has higher weight (lagging news), but if the sentiment_velocity is accelerating negative, apply a 10% sentiment boost.</w:t>
      </w:r>
    </w:p>
    <w:p>
      <w:pPr>
        <w:pStyle w:val="ListParagraph"/>
        <w:numPr>
          <w:ilvl w:val="0"/>
          <w:numId w:val="2"/>
        </w:numPr>
        <w:spacing w:before="60" w:after="60"/>
      </w:pPr>
      <w:r>
        <w:rPr>
          <w:rFonts w:ascii="Arial" w:cs="Arial" w:eastAsia="Arial" w:hAnsi="Arial"/>
          <w:color w:val="1E293B"/>
          <w:sz w:val="22"/>
          <w:szCs w:val="22"/>
        </w:rPr>
        <w:t xml:space="preserve">Fundamental bullish + Governance bearish with red flags: Risk-Priority Override applies — governance critical flags can VETO a bullish final recommendation, capping the final score at 55 (HOLD maximum) regardless of other signals.</w:t>
      </w:r>
    </w:p>
    <w:p>
      <w:pPr>
        <w:pStyle w:val="ListParagraph"/>
        <w:numPr>
          <w:ilvl w:val="0"/>
          <w:numId w:val="2"/>
        </w:numPr>
        <w:spacing w:before="60" w:after="60"/>
      </w:pPr>
      <w:r>
        <w:rPr>
          <w:rFonts w:ascii="Arial" w:cs="Arial" w:eastAsia="Arial" w:hAnsi="Arial"/>
          <w:color w:val="1E293B"/>
          <w:sz w:val="22"/>
          <w:szCs w:val="22"/>
        </w:rPr>
        <w:t xml:space="preserve">PEAD bullish + Macro bearish: If macro risk score &gt; 70, dampen PEAD weight by 50%.</w:t>
      </w:r>
    </w:p>
    <w:p>
      <w:pPr>
        <w:pStyle w:val="ListParagraph"/>
        <w:numPr>
          <w:ilvl w:val="0"/>
          <w:numId w:val="2"/>
        </w:numPr>
        <w:spacing w:before="60" w:after="60"/>
      </w:pPr>
      <w:r>
        <w:rPr>
          <w:rFonts w:ascii="Arial" w:cs="Arial" w:eastAsia="Arial" w:hAnsi="Arial"/>
          <w:color w:val="1E293B"/>
          <w:sz w:val="22"/>
          <w:szCs w:val="22"/>
        </w:rPr>
        <w:t xml:space="preserve">Conflict is logged with a conflict_description and resolution_method in the final output.</w:t>
      </w:r>
    </w:p>
    <w:p>
      <w:pPr>
        <w:pStyle w:val="Heading2"/>
        <w:spacing w:before="320" w:after="160"/>
      </w:pPr>
      <w:r>
        <w:rPr>
          <w:rFonts w:ascii="Arial" w:cs="Arial" w:eastAsia="Arial" w:hAnsi="Arial"/>
          <w:b/>
          <w:bCs/>
          <w:color w:val="2563EB"/>
          <w:sz w:val="28"/>
          <w:szCs w:val="28"/>
        </w:rPr>
        <w:t xml:space="preserve">10.3 Risk Override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80"/>
              <w:right w:type="dxa" w:w="200"/>
            </w:tcMar>
          </w:tcPr>
          <w:p>
            <w:pPr>
              <w:spacing w:before="60" w:after="80"/>
            </w:pPr>
            <w:r>
              <w:rPr>
                <w:rFonts w:ascii="Arial" w:cs="Arial" w:eastAsia="Arial" w:hAnsi="Arial"/>
                <w:b/>
                <w:bCs/>
                <w:color w:val="991B1B"/>
                <w:sz w:val="22"/>
                <w:szCs w:val="22"/>
              </w:rPr>
              <w:t xml:space="preserve">Hard Override Conditions</w:t>
            </w:r>
          </w:p>
          <w:p>
            <w:pPr>
              <w:spacing w:before="40" w:after="40"/>
            </w:pPr>
            <w:r>
              <w:rPr>
                <w:rFonts w:ascii="Arial" w:cs="Arial" w:eastAsia="Arial" w:hAnsi="Arial"/>
                <w:color w:val="1E293B"/>
                <w:sz w:val="20"/>
                <w:szCs w:val="20"/>
              </w:rPr>
              <w:t xml:space="preserve">1. Governance CRITICAL red flag present → Maximum final score = 40 (SELL / HOLD boundary)</w:t>
            </w:r>
          </w:p>
          <w:p>
            <w:pPr>
              <w:spacing w:before="40" w:after="40"/>
            </w:pPr>
            <w:r>
              <w:rPr>
                <w:rFonts w:ascii="Arial" w:cs="Arial" w:eastAsia="Arial" w:hAnsi="Arial"/>
                <w:color w:val="1E293B"/>
                <w:sz w:val="20"/>
                <w:szCs w:val="20"/>
              </w:rPr>
              <w:t xml:space="preserve">2. Risk Agent score &gt; 80 → Maximum final score = 55 (HOLD boundary)</w:t>
            </w:r>
          </w:p>
          <w:p>
            <w:pPr>
              <w:spacing w:before="40" w:after="40"/>
            </w:pPr>
            <w:r>
              <w:rPr>
                <w:rFonts w:ascii="Arial" w:cs="Arial" w:eastAsia="Arial" w:hAnsi="Arial"/>
                <w:color w:val="1E293B"/>
                <w:sz w:val="20"/>
                <w:szCs w:val="20"/>
              </w:rPr>
              <w:t xml:space="preserve">3. Fraud probability = 'high' → Override to SELL, confidence 0.9</w:t>
            </w:r>
          </w:p>
          <w:p>
            <w:pPr>
              <w:spacing w:before="40" w:after="40"/>
            </w:pPr>
            <w:r>
              <w:rPr>
                <w:rFonts w:ascii="Arial" w:cs="Arial" w:eastAsia="Arial" w:hAnsi="Arial"/>
                <w:color w:val="1E293B"/>
                <w:sz w:val="20"/>
                <w:szCs w:val="20"/>
              </w:rPr>
              <w:t xml:space="preserve">4. Promoter pledge &gt; 60% + declining stock price → Override to SELL</w:t>
            </w:r>
          </w:p>
          <w:p>
            <w:pPr>
              <w:spacing w:before="40" w:after="40"/>
            </w:pPr>
            <w:r>
              <w:rPr>
                <w:rFonts w:ascii="Arial" w:cs="Arial" w:eastAsia="Arial" w:hAnsi="Arial"/>
                <w:color w:val="1E293B"/>
                <w:sz w:val="20"/>
                <w:szCs w:val="20"/>
              </w:rPr>
              <w:t xml:space="preserve">5. &lt; 40% data coverage across all agents → Output HOLD with LOW confidence, flag as DATA INSUFFICIENT</w:t>
            </w:r>
          </w:p>
        </w:tc>
      </w:tr>
    </w:tbl>
    <w:p>
      <w:pPr>
        <w:spacing w:before="160" w:after="80"/>
      </w:pPr>
    </w:p>
    <w:p>
      <w:pPr>
        <w:pStyle w:val="Heading2"/>
        <w:spacing w:before="320" w:after="160"/>
      </w:pPr>
      <w:r>
        <w:rPr>
          <w:rFonts w:ascii="Arial" w:cs="Arial" w:eastAsia="Arial" w:hAnsi="Arial"/>
          <w:b/>
          <w:bCs/>
          <w:color w:val="2563EB"/>
          <w:sz w:val="28"/>
          <w:szCs w:val="28"/>
        </w:rPr>
        <w:t xml:space="preserve">10.4 Final Score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36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Range</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Recommendation</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Colour</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Suggested Action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0–40</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SELL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Exit position / Do not initiate. High risk or deteriorating fundamentals.</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41–60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HOLD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Yellow</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Maintain existing position. Insufficient conviction for new entry.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61–75</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BUY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Green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Initiate or add to position. Risk-adjusted upside is favourable.</w:t>
            </w:r>
          </w:p>
        </w:tc>
      </w:tr>
      <w:tr>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76–100</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STRONG BUY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Dark Green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 conviction. Multiple factors converging bullishly.</w:t>
            </w:r>
          </w:p>
        </w:tc>
      </w:tr>
    </w:tbl>
    <w:p>
      <w:pPr>
        <w:pBdr>
          <w:bottom w:val="single" w:color="E2E8F0" w:sz="2"/>
        </w:pBdr>
        <w:spacing w:before="200" w:after="200"/>
      </w:pPr>
    </w:p>
    <w:p>
      <w:pPr>
        <w:pStyle w:val="Heading1"/>
        <w:pBdr>
          <w:bottom w:val="single" w:color="2563EB" w:sz="4"/>
        </w:pBdr>
        <w:spacing w:before="400" w:after="200"/>
      </w:pPr>
      <w:r>
        <w:rPr>
          <w:rFonts w:ascii="Arial" w:cs="Arial" w:eastAsia="Arial" w:hAnsi="Arial"/>
          <w:b/>
          <w:bCs/>
          <w:color w:val="1E3A5F"/>
          <w:sz w:val="36"/>
          <w:szCs w:val="36"/>
        </w:rPr>
        <w:t xml:space="preserve">11. XAI Engine (Explainability Layer)</w:t>
      </w:r>
    </w:p>
    <w:p>
      <w:pPr>
        <w:spacing w:before="80" w:after="100"/>
      </w:pPr>
      <w:r>
        <w:rPr>
          <w:rFonts w:ascii="Arial" w:cs="Arial" w:eastAsia="Arial" w:hAnsi="Arial"/>
          <w:color w:val="1E293B"/>
          <w:sz w:val="22"/>
          <w:szCs w:val="22"/>
        </w:rPr>
        <w:t xml:space="preserve">The XAI Engine is not an agent — it is a post-processing layer that runs after the Orchestrator produces its score. Its job is to construct a human-readable, auditable explanation of why the score is what it is, traceable to individual financial data points.</w:t>
      </w:r>
    </w:p>
    <w:p>
      <w:pPr>
        <w:pStyle w:val="Heading2"/>
        <w:spacing w:before="320" w:after="160"/>
      </w:pPr>
      <w:r>
        <w:rPr>
          <w:rFonts w:ascii="Arial" w:cs="Arial" w:eastAsia="Arial" w:hAnsi="Arial"/>
          <w:b/>
          <w:bCs/>
          <w:color w:val="2563EB"/>
          <w:sz w:val="28"/>
          <w:szCs w:val="28"/>
        </w:rPr>
        <w:t xml:space="preserve">Factor Attribution Format</w:t>
      </w:r>
    </w:p>
    <w:p>
      <w:pPr>
        <w:spacing w:before="80" w:after="100"/>
      </w:pPr>
      <w:r>
        <w:rPr>
          <w:rFonts w:ascii="Arial" w:cs="Arial" w:eastAsia="Arial" w:hAnsi="Arial"/>
          <w:color w:val="1E293B"/>
          <w:sz w:val="22"/>
          <w:szCs w:val="22"/>
        </w:rPr>
        <w:t xml:space="preserve">Every factor contributing more than ±2 points to the final score must appear in the factor_contributions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80"/>
              <w:right w:type="dxa" w:w="200"/>
            </w:tcMar>
          </w:tcPr>
          <w:p>
            <w:pPr>
              <w:spacing w:before="60" w:after="80"/>
            </w:pPr>
            <w:r>
              <w:rPr>
                <w:rFonts w:ascii="Arial" w:cs="Arial" w:eastAsia="Arial" w:hAnsi="Arial"/>
                <w:b/>
                <w:bCs/>
                <w:color w:val="1E3A5F"/>
                <w:sz w:val="22"/>
                <w:szCs w:val="22"/>
              </w:rPr>
              <w:t xml:space="preserve">Example Factor Attribution Output</w:t>
            </w:r>
          </w:p>
          <w:p>
            <w:pPr>
              <w:spacing w:before="40" w:after="40"/>
            </w:pPr>
            <w:r>
              <w:rPr>
                <w:rFonts w:ascii="Arial" w:cs="Arial" w:eastAsia="Arial" w:hAnsi="Arial"/>
                <w:color w:val="1E293B"/>
                <w:sz w:val="20"/>
                <w:szCs w:val="20"/>
              </w:rPr>
              <w:t xml:space="preserve">{ factor: 'ROE (22% vs sector median 14%)', impact: +12, direction: 'bullish', agent: 'fundamental' }</w:t>
            </w:r>
          </w:p>
          <w:p>
            <w:pPr>
              <w:spacing w:before="40" w:after="40"/>
            </w:pPr>
            <w:r>
              <w:rPr>
                <w:rFonts w:ascii="Arial" w:cs="Arial" w:eastAsia="Arial" w:hAnsi="Arial"/>
                <w:color w:val="1E293B"/>
                <w:sz w:val="20"/>
                <w:szCs w:val="20"/>
              </w:rPr>
              <w:t xml:space="preserve">{ factor: 'D/E ratio (2.8x, above safe threshold)', impact: -8, direction: 'bearish', agent: 'fundamental' }</w:t>
            </w:r>
          </w:p>
          <w:p>
            <w:pPr>
              <w:spacing w:before="40" w:after="40"/>
            </w:pPr>
            <w:r>
              <w:rPr>
                <w:rFonts w:ascii="Arial" w:cs="Arial" w:eastAsia="Arial" w:hAnsi="Arial"/>
                <w:color w:val="1E293B"/>
                <w:sz w:val="20"/>
                <w:szCs w:val="20"/>
              </w:rPr>
              <w:t xml:space="preserve">{ factor: 'SUE score +2.4 (strong earnings beat)', impact: +10, direction: 'bullish', agent: 'pead' }</w:t>
            </w:r>
          </w:p>
          <w:p>
            <w:pPr>
              <w:spacing w:before="40" w:after="40"/>
            </w:pPr>
            <w:r>
              <w:rPr>
                <w:rFonts w:ascii="Arial" w:cs="Arial" w:eastAsia="Arial" w:hAnsi="Arial"/>
                <w:color w:val="1E293B"/>
                <w:sz w:val="20"/>
                <w:szCs w:val="20"/>
              </w:rPr>
              <w:t xml:space="preserve">{ factor: 'Auditor change in FY2024', impact: -12, direction: 'bearish', agent: 'governance' }</w:t>
            </w:r>
          </w:p>
          <w:p>
            <w:pPr>
              <w:spacing w:before="40" w:after="40"/>
            </w:pPr>
            <w:r>
              <w:rPr>
                <w:rFonts w:ascii="Arial" w:cs="Arial" w:eastAsia="Arial" w:hAnsi="Arial"/>
                <w:color w:val="1E293B"/>
                <w:sz w:val="20"/>
                <w:szCs w:val="20"/>
              </w:rPr>
              <w:t xml:space="preserve">{ factor: 'SMA 50 &gt; SMA 200 (Golden Cross)', impact: +8, direction: 'bullish', agent: 'technical' }</w:t>
            </w:r>
          </w:p>
          <w:p>
            <w:pPr>
              <w:spacing w:before="40" w:after="40"/>
            </w:pPr>
            <w:r>
              <w:rPr>
                <w:rFonts w:ascii="Arial" w:cs="Arial" w:eastAsia="Arial" w:hAnsi="Arial"/>
                <w:color w:val="1E293B"/>
                <w:sz w:val="20"/>
                <w:szCs w:val="20"/>
              </w:rPr>
              <w:t xml:space="preserve">{ factor: 'VIX at 28 (elevated fear)', impact: -5, direction: 'bearish', agent: 'macro' }</w:t>
            </w:r>
          </w:p>
        </w:tc>
      </w:tr>
    </w:tbl>
    <w:p>
      <w:pPr>
        <w:spacing w:before="160" w:after="80"/>
      </w:pPr>
    </w:p>
    <w:p>
      <w:pPr>
        <w:pStyle w:val="Heading2"/>
        <w:spacing w:before="320" w:after="160"/>
      </w:pPr>
      <w:r>
        <w:rPr>
          <w:rFonts w:ascii="Arial" w:cs="Arial" w:eastAsia="Arial" w:hAnsi="Arial"/>
          <w:b/>
          <w:bCs/>
          <w:color w:val="2563EB"/>
          <w:sz w:val="28"/>
          <w:szCs w:val="28"/>
        </w:rPr>
        <w:t xml:space="preserve">Cause → Effect → Recommendation Chain</w:t>
      </w:r>
    </w:p>
    <w:p>
      <w:pPr>
        <w:spacing w:before="80" w:after="100"/>
      </w:pPr>
      <w:r>
        <w:rPr>
          <w:rFonts w:ascii="Arial" w:cs="Arial" w:eastAsia="Arial" w:hAnsi="Arial"/>
          <w:color w:val="1E293B"/>
          <w:sz w:val="22"/>
          <w:szCs w:val="22"/>
        </w:rPr>
        <w:t xml:space="preserve">The XAI engine must construct a natural language summary following this template:</w:t>
      </w:r>
    </w:p>
    <w:p>
      <w:pPr>
        <w:pStyle w:val="ListParagraph"/>
        <w:numPr>
          <w:ilvl w:val="0"/>
          <w:numId w:val="2"/>
        </w:numPr>
        <w:spacing w:before="60" w:after="60"/>
      </w:pPr>
      <w:r>
        <w:rPr>
          <w:rFonts w:ascii="Arial" w:cs="Arial" w:eastAsia="Arial" w:hAnsi="Arial"/>
          <w:color w:val="1E293B"/>
          <w:sz w:val="22"/>
          <w:szCs w:val="22"/>
        </w:rPr>
        <w:t xml:space="preserve">Cause: Identify the 3 most impactful factors (positive and negative)</w:t>
      </w:r>
    </w:p>
    <w:p>
      <w:pPr>
        <w:pStyle w:val="ListParagraph"/>
        <w:numPr>
          <w:ilvl w:val="0"/>
          <w:numId w:val="2"/>
        </w:numPr>
        <w:spacing w:before="60" w:after="60"/>
      </w:pPr>
      <w:r>
        <w:rPr>
          <w:rFonts w:ascii="Arial" w:cs="Arial" w:eastAsia="Arial" w:hAnsi="Arial"/>
          <w:color w:val="1E293B"/>
          <w:sz w:val="22"/>
          <w:szCs w:val="22"/>
        </w:rPr>
        <w:t xml:space="preserve">Effect: Describe the mechanical link between the factor and its stock price implication</w:t>
      </w:r>
    </w:p>
    <w:p>
      <w:pPr>
        <w:pStyle w:val="ListParagraph"/>
        <w:numPr>
          <w:ilvl w:val="0"/>
          <w:numId w:val="2"/>
        </w:numPr>
        <w:spacing w:before="60" w:after="60"/>
      </w:pPr>
      <w:r>
        <w:rPr>
          <w:rFonts w:ascii="Arial" w:cs="Arial" w:eastAsia="Arial" w:hAnsi="Arial"/>
          <w:color w:val="1E293B"/>
          <w:sz w:val="22"/>
          <w:szCs w:val="22"/>
        </w:rPr>
        <w:t xml:space="preserve">Recommendation: State what this means for an investor with the specified risk profile</w:t>
      </w:r>
    </w:p>
    <w:p>
      <w:pPr>
        <w:pBdr>
          <w:bottom w:val="single" w:color="E2E8F0" w:sz="2"/>
        </w:pBdr>
        <w:spacing w:before="200" w:after="200"/>
      </w:pPr>
    </w:p>
    <w:p>
      <w:pPr>
        <w:pStyle w:val="Heading1"/>
        <w:pBdr>
          <w:bottom w:val="single" w:color="2563EB" w:sz="4"/>
        </w:pBdr>
        <w:spacing w:before="400" w:after="200"/>
      </w:pPr>
      <w:r>
        <w:rPr>
          <w:rFonts w:ascii="Arial" w:cs="Arial" w:eastAsia="Arial" w:hAnsi="Arial"/>
          <w:b/>
          <w:bCs/>
          <w:color w:val="1E3A5F"/>
          <w:sz w:val="36"/>
          <w:szCs w:val="36"/>
        </w:rPr>
        <w:t xml:space="preserve">12. System Metrics &amp; Reliability</w:t>
      </w:r>
    </w:p>
    <w:p>
      <w:pPr>
        <w:spacing w:before="80" w:after="100"/>
      </w:pPr>
      <w:r>
        <w:rPr>
          <w:rFonts w:ascii="Arial" w:cs="Arial" w:eastAsia="Arial" w:hAnsi="Arial"/>
          <w:color w:val="1E293B"/>
          <w:sz w:val="22"/>
          <w:szCs w:val="22"/>
        </w:rPr>
        <w:t xml:space="preserve">Every CashCrew report must include a metrics block for auditability. This tells the consumer of the report how reliable it is.</w:t>
      </w:r>
    </w:p>
    <w:p>
      <w:pPr>
        <w:pStyle w:val="Heading2"/>
        <w:spacing w:before="320" w:after="160"/>
      </w:pPr>
      <w:r>
        <w:rPr>
          <w:rFonts w:ascii="Arial" w:cs="Arial" w:eastAsia="Arial" w:hAnsi="Arial"/>
          <w:b/>
          <w:bCs/>
          <w:color w:val="2563EB"/>
          <w:sz w:val="28"/>
          <w:szCs w:val="28"/>
        </w:rPr>
        <w:t xml:space="preserve">Per-Agent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4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Alert Threshold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confidence_score</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Agent's self-reported confidence (0.0–1.0)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0.4 = flag as LOW CONFIDENCE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data_freshness_hours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Age of most stale data source used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&gt; 48 hours = STALE DATA warning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coverage_pct</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of expected data points actually available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60% = DATA INCOMPLETE warning</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execution_time_ms</w:t>
            </w:r>
          </w:p>
        </w:tc>
        <w:tc>
          <w:tcPr>
            <w:tcW w:type="dxa" w:w="4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Agent processing time in milliseconds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&gt; 5000ms = LATENCY WARNING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fallback_triggered</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Whether the agent had to use backup data sources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True = note in report</w:t>
            </w:r>
          </w:p>
        </w:tc>
      </w:tr>
    </w:tbl>
    <w:p>
      <w:pPr>
        <w:spacing w:before="160" w:after="80"/>
      </w:pPr>
    </w:p>
    <w:p>
      <w:pPr>
        <w:pStyle w:val="Heading2"/>
        <w:spacing w:before="320" w:after="160"/>
      </w:pPr>
      <w:r>
        <w:rPr>
          <w:rFonts w:ascii="Arial" w:cs="Arial" w:eastAsia="Arial" w:hAnsi="Arial"/>
          <w:b/>
          <w:bCs/>
          <w:color w:val="2563EB"/>
          <w:sz w:val="28"/>
          <w:szCs w:val="28"/>
        </w:rPr>
        <w:t xml:space="preserve">System-Level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Metric</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Definition</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conflict_rate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Number of agent pair conflicts detected / total possible pairs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overall_reliability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Weighted average confidence across all agents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total_latency_ms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End-to-end time from ticker input to final report generation</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data_completeness_pct</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Overall % of all expected data points that were available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override_triggered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Whether any hard override rule was applied (and which one)</w:t>
            </w:r>
          </w:p>
        </w:tc>
      </w:tr>
    </w:tbl>
    <w:p>
      <w:pPr>
        <w:pBdr>
          <w:bottom w:val="single" w:color="E2E8F0" w:sz="2"/>
        </w:pBdr>
        <w:spacing w:before="200" w:after="200"/>
      </w:pPr>
    </w:p>
    <w:p>
      <w:pPr>
        <w:pStyle w:val="Heading1"/>
        <w:pBdr>
          <w:bottom w:val="single" w:color="2563EB" w:sz="4"/>
        </w:pBdr>
        <w:spacing w:before="400" w:after="200"/>
      </w:pPr>
      <w:r>
        <w:rPr>
          <w:rFonts w:ascii="Arial" w:cs="Arial" w:eastAsia="Arial" w:hAnsi="Arial"/>
          <w:b/>
          <w:bCs/>
          <w:color w:val="1E3A5F"/>
          <w:sz w:val="36"/>
          <w:szCs w:val="36"/>
        </w:rPr>
        <w:t xml:space="preserve">13. Final Report Output Structure</w:t>
      </w:r>
    </w:p>
    <w:p>
      <w:pPr>
        <w:spacing w:before="80" w:after="100"/>
      </w:pPr>
      <w:r>
        <w:rPr>
          <w:rFonts w:ascii="Arial" w:cs="Arial" w:eastAsia="Arial" w:hAnsi="Arial"/>
          <w:color w:val="1E293B"/>
          <w:sz w:val="22"/>
          <w:szCs w:val="22"/>
        </w:rPr>
        <w:t xml:space="preserve">The following is the mandatory structure for the human-readable report output. All sections must be present. Sections with no data must explicitly state 'Data unavailable —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360"/>
        <w:gridCol w:w="400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Section #</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Section Name</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Populated By</w:t>
            </w:r>
          </w:p>
        </w:tc>
        <w:tc>
          <w:tcPr>
            <w:tcW w:type="dxa" w:w="4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Content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Company Overview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Input + Fundamental Agent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Name, ticker, sector, market cap, exchange, business description</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Macro &amp; Global Context</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Macro Agent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Rate environment, inflation, currency, VIX, geopolitical risk summary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Fundamental Analysis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Fundamental Agent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 ratios table, valuation verdict, revenue/EPS growth charts</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Technical Analysis</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Technical Agent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Score, trend summary, key indicator values, S/R levels</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Sentiment Insights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Sentiment Agent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Sentiment score, top narratives, analyst consensus, social signal</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Earnings &amp; PEAD</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PEAD Agent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EPS surprise, SUE score, drift prediction, quarter history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Governance &amp; Fraud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Governance Agent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Governance score, red flags list, Beneish M-Score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8</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Financial Health (RAG)</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RAG Filing Agent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Health score, filing insights, factor breakdown, management tone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Assessment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Agent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Risk score, tier, beta, VaR, recommended position size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Final Recommendation</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Orchestrator</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BUY/HOLD/SELL, final score, score breakdown table</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11</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Explainable Reasoning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XAI Engine</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Factor attribution list, cause-effect-recommendation narrative</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12</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Metrics &amp; Confidence</w:t>
            </w:r>
          </w:p>
        </w:tc>
        <w:tc>
          <w:tcPr>
            <w:tcW w:type="dxa" w:w="2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System</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Per-agent confidence, data freshness, coverage, conflict log</w:t>
            </w:r>
          </w:p>
        </w:tc>
      </w:tr>
    </w:tbl>
    <w:p>
      <w:pPr>
        <w:pBdr>
          <w:bottom w:val="single" w:color="E2E8F0" w:sz="2"/>
        </w:pBdr>
        <w:spacing w:before="200" w:after="200"/>
      </w:pPr>
    </w:p>
    <w:p>
      <w:pPr>
        <w:pStyle w:val="Heading1"/>
        <w:pBdr>
          <w:bottom w:val="single" w:color="2563EB" w:sz="4"/>
        </w:pBdr>
        <w:spacing w:before="400" w:after="200"/>
      </w:pPr>
      <w:r>
        <w:rPr>
          <w:rFonts w:ascii="Arial" w:cs="Arial" w:eastAsia="Arial" w:hAnsi="Arial"/>
          <w:b/>
          <w:bCs/>
          <w:color w:val="1E3A5F"/>
          <w:sz w:val="36"/>
          <w:szCs w:val="36"/>
        </w:rPr>
        <w:t xml:space="preserve">14. Implementation Notes &amp; Build Checklist</w:t>
      </w:r>
    </w:p>
    <w:p>
      <w:pPr>
        <w:pStyle w:val="Heading2"/>
        <w:spacing w:before="320" w:after="160"/>
      </w:pPr>
      <w:r>
        <w:rPr>
          <w:rFonts w:ascii="Arial" w:cs="Arial" w:eastAsia="Arial" w:hAnsi="Arial"/>
          <w:b/>
          <w:bCs/>
          <w:color w:val="2563EB"/>
          <w:sz w:val="28"/>
          <w:szCs w:val="28"/>
        </w:rPr>
        <w:t xml:space="preserve">Phase 1: Foundation (Weeks 1–3)</w:t>
      </w:r>
    </w:p>
    <w:p>
      <w:pPr>
        <w:pStyle w:val="ListParagraph"/>
        <w:numPr>
          <w:ilvl w:val="0"/>
          <w:numId w:val="2"/>
        </w:numPr>
        <w:spacing w:before="60" w:after="60"/>
      </w:pPr>
      <w:r>
        <w:rPr>
          <w:rFonts w:ascii="Arial" w:cs="Arial" w:eastAsia="Arial" w:hAnsi="Arial"/>
          <w:color w:val="1E293B"/>
          <w:sz w:val="22"/>
          <w:szCs w:val="22"/>
        </w:rPr>
        <w:t xml:space="preserve">Set up project repo, Docker environment, PostgreSQL + Redis + ChromaDB</w:t>
      </w:r>
    </w:p>
    <w:p>
      <w:pPr>
        <w:pStyle w:val="ListParagraph"/>
        <w:numPr>
          <w:ilvl w:val="0"/>
          <w:numId w:val="2"/>
        </w:numPr>
        <w:spacing w:before="60" w:after="60"/>
      </w:pPr>
      <w:r>
        <w:rPr>
          <w:rFonts w:ascii="Arial" w:cs="Arial" w:eastAsia="Arial" w:hAnsi="Arial"/>
          <w:color w:val="1E293B"/>
          <w:sz w:val="22"/>
          <w:szCs w:val="22"/>
        </w:rPr>
        <w:t xml:space="preserve">Implement universal agent output contract validation (Pydantic schema in Python)</w:t>
      </w:r>
    </w:p>
    <w:p>
      <w:pPr>
        <w:pStyle w:val="ListParagraph"/>
        <w:numPr>
          <w:ilvl w:val="0"/>
          <w:numId w:val="2"/>
        </w:numPr>
        <w:spacing w:before="60" w:after="60"/>
      </w:pPr>
      <w:r>
        <w:rPr>
          <w:rFonts w:ascii="Arial" w:cs="Arial" w:eastAsia="Arial" w:hAnsi="Arial"/>
          <w:color w:val="1E293B"/>
          <w:sz w:val="22"/>
          <w:szCs w:val="22"/>
        </w:rPr>
        <w:t xml:space="preserve">Build data pipeline: yfinance + Alpha Vantage + Finnhub connectors with rate limiting</w:t>
      </w:r>
    </w:p>
    <w:p>
      <w:pPr>
        <w:pStyle w:val="ListParagraph"/>
        <w:numPr>
          <w:ilvl w:val="0"/>
          <w:numId w:val="2"/>
        </w:numPr>
        <w:spacing w:before="60" w:after="60"/>
      </w:pPr>
      <w:r>
        <w:rPr>
          <w:rFonts w:ascii="Arial" w:cs="Arial" w:eastAsia="Arial" w:hAnsi="Arial"/>
          <w:color w:val="1E293B"/>
          <w:sz w:val="22"/>
          <w:szCs w:val="22"/>
        </w:rPr>
        <w:t xml:space="preserve">Implement Technical Agent (all indicators using pandas-ta library)</w:t>
      </w:r>
    </w:p>
    <w:p>
      <w:pPr>
        <w:pStyle w:val="ListParagraph"/>
        <w:numPr>
          <w:ilvl w:val="0"/>
          <w:numId w:val="2"/>
        </w:numPr>
        <w:spacing w:before="60" w:after="60"/>
      </w:pPr>
      <w:r>
        <w:rPr>
          <w:rFonts w:ascii="Arial" w:cs="Arial" w:eastAsia="Arial" w:hAnsi="Arial"/>
          <w:color w:val="1E293B"/>
          <w:sz w:val="22"/>
          <w:szCs w:val="22"/>
        </w:rPr>
        <w:t xml:space="preserve">Implement Fundamental Agent (yfinance + FMP API fallback)</w:t>
      </w:r>
    </w:p>
    <w:p>
      <w:pPr>
        <w:pStyle w:val="Heading2"/>
        <w:spacing w:before="320" w:after="160"/>
      </w:pPr>
      <w:r>
        <w:rPr>
          <w:rFonts w:ascii="Arial" w:cs="Arial" w:eastAsia="Arial" w:hAnsi="Arial"/>
          <w:b/>
          <w:bCs/>
          <w:color w:val="2563EB"/>
          <w:sz w:val="28"/>
          <w:szCs w:val="28"/>
        </w:rPr>
        <w:t xml:space="preserve">Phase 2: Intelligence (Weeks 4–6)</w:t>
      </w:r>
    </w:p>
    <w:p>
      <w:pPr>
        <w:pStyle w:val="ListParagraph"/>
        <w:numPr>
          <w:ilvl w:val="0"/>
          <w:numId w:val="2"/>
        </w:numPr>
        <w:spacing w:before="60" w:after="60"/>
      </w:pPr>
      <w:r>
        <w:rPr>
          <w:rFonts w:ascii="Arial" w:cs="Arial" w:eastAsia="Arial" w:hAnsi="Arial"/>
          <w:color w:val="1E293B"/>
          <w:sz w:val="22"/>
          <w:szCs w:val="22"/>
        </w:rPr>
        <w:t xml:space="preserve">Build RAG pipeline: PDF ingestion → chunking → embedding → ChromaDB indexing</w:t>
      </w:r>
    </w:p>
    <w:p>
      <w:pPr>
        <w:pStyle w:val="ListParagraph"/>
        <w:numPr>
          <w:ilvl w:val="0"/>
          <w:numId w:val="2"/>
        </w:numPr>
        <w:spacing w:before="60" w:after="60"/>
      </w:pPr>
      <w:r>
        <w:rPr>
          <w:rFonts w:ascii="Arial" w:cs="Arial" w:eastAsia="Arial" w:hAnsi="Arial"/>
          <w:color w:val="1E293B"/>
          <w:sz w:val="22"/>
          <w:szCs w:val="22"/>
        </w:rPr>
        <w:t xml:space="preserve">Implement Sentiment Agent with FinBERT (HuggingFace transformers)</w:t>
      </w:r>
    </w:p>
    <w:p>
      <w:pPr>
        <w:pStyle w:val="ListParagraph"/>
        <w:numPr>
          <w:ilvl w:val="0"/>
          <w:numId w:val="2"/>
        </w:numPr>
        <w:spacing w:before="60" w:after="60"/>
      </w:pPr>
      <w:r>
        <w:rPr>
          <w:rFonts w:ascii="Arial" w:cs="Arial" w:eastAsia="Arial" w:hAnsi="Arial"/>
          <w:color w:val="1E293B"/>
          <w:sz w:val="22"/>
          <w:szCs w:val="22"/>
        </w:rPr>
        <w:t xml:space="preserve">Implement PEAD Agent with SUE computation</w:t>
      </w:r>
    </w:p>
    <w:p>
      <w:pPr>
        <w:pStyle w:val="ListParagraph"/>
        <w:numPr>
          <w:ilvl w:val="0"/>
          <w:numId w:val="2"/>
        </w:numPr>
        <w:spacing w:before="60" w:after="60"/>
      </w:pPr>
      <w:r>
        <w:rPr>
          <w:rFonts w:ascii="Arial" w:cs="Arial" w:eastAsia="Arial" w:hAnsi="Arial"/>
          <w:color w:val="1E293B"/>
          <w:sz w:val="22"/>
          <w:szCs w:val="22"/>
        </w:rPr>
        <w:t xml:space="preserve">Implement Governance Agent: Beneish M-Score + red flag detection</w:t>
      </w:r>
    </w:p>
    <w:p>
      <w:pPr>
        <w:pStyle w:val="ListParagraph"/>
        <w:numPr>
          <w:ilvl w:val="0"/>
          <w:numId w:val="2"/>
        </w:numPr>
        <w:spacing w:before="60" w:after="60"/>
      </w:pPr>
      <w:r>
        <w:rPr>
          <w:rFonts w:ascii="Arial" w:cs="Arial" w:eastAsia="Arial" w:hAnsi="Arial"/>
          <w:color w:val="1E293B"/>
          <w:sz w:val="22"/>
          <w:szCs w:val="22"/>
        </w:rPr>
        <w:t xml:space="preserve">Implement Macro Agent with sector sensitivity table</w:t>
      </w:r>
    </w:p>
    <w:p>
      <w:pPr>
        <w:pStyle w:val="Heading2"/>
        <w:spacing w:before="320" w:after="160"/>
      </w:pPr>
      <w:r>
        <w:rPr>
          <w:rFonts w:ascii="Arial" w:cs="Arial" w:eastAsia="Arial" w:hAnsi="Arial"/>
          <w:b/>
          <w:bCs/>
          <w:color w:val="2563EB"/>
          <w:sz w:val="28"/>
          <w:szCs w:val="28"/>
        </w:rPr>
        <w:t xml:space="preserve">Phase 3: Orchestration (Weeks 7–8)</w:t>
      </w:r>
    </w:p>
    <w:p>
      <w:pPr>
        <w:pStyle w:val="ListParagraph"/>
        <w:numPr>
          <w:ilvl w:val="0"/>
          <w:numId w:val="2"/>
        </w:numPr>
        <w:spacing w:before="60" w:after="60"/>
      </w:pPr>
      <w:r>
        <w:rPr>
          <w:rFonts w:ascii="Arial" w:cs="Arial" w:eastAsia="Arial" w:hAnsi="Arial"/>
          <w:color w:val="1E293B"/>
          <w:sz w:val="22"/>
          <w:szCs w:val="22"/>
        </w:rPr>
        <w:t xml:space="preserve">Build Orchestrator: confidence-weighted scoring + conflict detection + override rules</w:t>
      </w:r>
    </w:p>
    <w:p>
      <w:pPr>
        <w:pStyle w:val="ListParagraph"/>
        <w:numPr>
          <w:ilvl w:val="0"/>
          <w:numId w:val="2"/>
        </w:numPr>
        <w:spacing w:before="60" w:after="60"/>
      </w:pPr>
      <w:r>
        <w:rPr>
          <w:rFonts w:ascii="Arial" w:cs="Arial" w:eastAsia="Arial" w:hAnsi="Arial"/>
          <w:color w:val="1E293B"/>
          <w:sz w:val="22"/>
          <w:szCs w:val="22"/>
        </w:rPr>
        <w:t xml:space="preserve">Build XAI Engine: factor attribution + cause-effect narrative generator</w:t>
      </w:r>
    </w:p>
    <w:p>
      <w:pPr>
        <w:pStyle w:val="ListParagraph"/>
        <w:numPr>
          <w:ilvl w:val="0"/>
          <w:numId w:val="2"/>
        </w:numPr>
        <w:spacing w:before="60" w:after="60"/>
      </w:pPr>
      <w:r>
        <w:rPr>
          <w:rFonts w:ascii="Arial" w:cs="Arial" w:eastAsia="Arial" w:hAnsi="Arial"/>
          <w:color w:val="1E293B"/>
          <w:sz w:val="22"/>
          <w:szCs w:val="22"/>
        </w:rPr>
        <w:t xml:space="preserve">Implement Celery task queue for parallel agent execution</w:t>
      </w:r>
    </w:p>
    <w:p>
      <w:pPr>
        <w:pStyle w:val="ListParagraph"/>
        <w:numPr>
          <w:ilvl w:val="0"/>
          <w:numId w:val="2"/>
        </w:numPr>
        <w:spacing w:before="60" w:after="60"/>
      </w:pPr>
      <w:r>
        <w:rPr>
          <w:rFonts w:ascii="Arial" w:cs="Arial" w:eastAsia="Arial" w:hAnsi="Arial"/>
          <w:color w:val="1E293B"/>
          <w:sz w:val="22"/>
          <w:szCs w:val="22"/>
        </w:rPr>
        <w:t xml:space="preserve">Build metrics collection and report assembly layer</w:t>
      </w:r>
    </w:p>
    <w:p>
      <w:pPr>
        <w:pStyle w:val="Heading2"/>
        <w:spacing w:before="320" w:after="160"/>
      </w:pPr>
      <w:r>
        <w:rPr>
          <w:rFonts w:ascii="Arial" w:cs="Arial" w:eastAsia="Arial" w:hAnsi="Arial"/>
          <w:b/>
          <w:bCs/>
          <w:color w:val="2563EB"/>
          <w:sz w:val="28"/>
          <w:szCs w:val="28"/>
        </w:rPr>
        <w:t xml:space="preserve">Phase 4: Frontend (Weeks 9–10)</w:t>
      </w:r>
    </w:p>
    <w:p>
      <w:pPr>
        <w:pStyle w:val="ListParagraph"/>
        <w:numPr>
          <w:ilvl w:val="0"/>
          <w:numId w:val="2"/>
        </w:numPr>
        <w:spacing w:before="60" w:after="60"/>
      </w:pPr>
      <w:r>
        <w:rPr>
          <w:rFonts w:ascii="Arial" w:cs="Arial" w:eastAsia="Arial" w:hAnsi="Arial"/>
          <w:color w:val="1E293B"/>
          <w:sz w:val="22"/>
          <w:szCs w:val="22"/>
        </w:rPr>
        <w:t xml:space="preserve">Build Next.js dashboard: score gauge, radar chart, sentiment timeline, factor waterfall chart</w:t>
      </w:r>
    </w:p>
    <w:p>
      <w:pPr>
        <w:pStyle w:val="ListParagraph"/>
        <w:numPr>
          <w:ilvl w:val="0"/>
          <w:numId w:val="2"/>
        </w:numPr>
        <w:spacing w:before="60" w:after="60"/>
      </w:pPr>
      <w:r>
        <w:rPr>
          <w:rFonts w:ascii="Arial" w:cs="Arial" w:eastAsia="Arial" w:hAnsi="Arial"/>
          <w:color w:val="1E293B"/>
          <w:sz w:val="22"/>
          <w:szCs w:val="22"/>
        </w:rPr>
        <w:t xml:space="preserve">Implement report PDF export</w:t>
      </w:r>
    </w:p>
    <w:p>
      <w:pPr>
        <w:pStyle w:val="ListParagraph"/>
        <w:numPr>
          <w:ilvl w:val="0"/>
          <w:numId w:val="2"/>
        </w:numPr>
        <w:spacing w:before="60" w:after="60"/>
      </w:pPr>
      <w:r>
        <w:rPr>
          <w:rFonts w:ascii="Arial" w:cs="Arial" w:eastAsia="Arial" w:hAnsi="Arial"/>
          <w:color w:val="1E293B"/>
          <w:sz w:val="22"/>
          <w:szCs w:val="22"/>
        </w:rPr>
        <w:t xml:space="preserve">Add portfolio mode: multi-ticker analysis with correlation matrix</w:t>
      </w:r>
    </w:p>
    <w:p>
      <w:pPr>
        <w:pStyle w:val="ListParagraph"/>
        <w:numPr>
          <w:ilvl w:val="0"/>
          <w:numId w:val="2"/>
        </w:numPr>
        <w:spacing w:before="60" w:after="60"/>
      </w:pPr>
      <w:r>
        <w:rPr>
          <w:rFonts w:ascii="Arial" w:cs="Arial" w:eastAsia="Arial" w:hAnsi="Arial"/>
          <w:color w:val="1E293B"/>
          <w:sz w:val="22"/>
          <w:szCs w:val="22"/>
        </w:rPr>
        <w:t xml:space="preserve">Performance testing, error handling, API documentation (FastAPI auto-docs)</w:t>
      </w:r>
    </w:p>
    <w:p>
      <w:pPr>
        <w:spacing w:before="20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00"/>
              <w:bottom w:type="dxa" w:w="80"/>
              <w:right w:type="dxa" w:w="200"/>
            </w:tcMar>
          </w:tcPr>
          <w:p>
            <w:pPr>
              <w:spacing w:before="60" w:after="80"/>
            </w:pPr>
            <w:r>
              <w:rPr>
                <w:rFonts w:ascii="Arial" w:cs="Arial" w:eastAsia="Arial" w:hAnsi="Arial"/>
                <w:b/>
                <w:bCs/>
                <w:color w:val="991B1B"/>
                <w:sz w:val="22"/>
                <w:szCs w:val="22"/>
              </w:rPr>
              <w:t xml:space="preserve">⚠️ Critical Constraints for Builders</w:t>
            </w:r>
          </w:p>
          <w:p>
            <w:pPr>
              <w:spacing w:before="40" w:after="40"/>
            </w:pPr>
            <w:r>
              <w:rPr>
                <w:rFonts w:ascii="Arial" w:cs="Arial" w:eastAsia="Arial" w:hAnsi="Arial"/>
                <w:color w:val="1E293B"/>
                <w:sz w:val="20"/>
                <w:szCs w:val="20"/>
              </w:rPr>
              <w:t xml:space="preserve">1. NEVER hallucinate financial data. If a source fails, return an error flag — do not approximate.</w:t>
            </w:r>
          </w:p>
          <w:p>
            <w:pPr>
              <w:spacing w:before="40" w:after="40"/>
            </w:pPr>
            <w:r>
              <w:rPr>
                <w:rFonts w:ascii="Arial" w:cs="Arial" w:eastAsia="Arial" w:hAnsi="Arial"/>
                <w:color w:val="1E293B"/>
                <w:sz w:val="20"/>
                <w:szCs w:val="20"/>
              </w:rPr>
              <w:t xml:space="preserve">2. All financial ratios must be computed from raw financial statement data, not pre-computed values from APIs.</w:t>
            </w:r>
          </w:p>
          <w:p>
            <w:pPr>
              <w:spacing w:before="40" w:after="40"/>
            </w:pPr>
            <w:r>
              <w:rPr>
                <w:rFonts w:ascii="Arial" w:cs="Arial" w:eastAsia="Arial" w:hAnsi="Arial"/>
                <w:color w:val="1E293B"/>
                <w:sz w:val="20"/>
                <w:szCs w:val="20"/>
              </w:rPr>
              <w:t xml:space="preserve">3. The Orchestrator must be the ONLY decision-making entity. Agents return signals; they do not make decisions.</w:t>
            </w:r>
          </w:p>
          <w:p>
            <w:pPr>
              <w:spacing w:before="40" w:after="40"/>
            </w:pPr>
            <w:r>
              <w:rPr>
                <w:rFonts w:ascii="Arial" w:cs="Arial" w:eastAsia="Arial" w:hAnsi="Arial"/>
                <w:color w:val="1E293B"/>
                <w:sz w:val="20"/>
                <w:szCs w:val="20"/>
              </w:rPr>
              <w:t xml:space="preserve">4. Confidence scores must reflect actual data availability, not the agent's certainty in its model.</w:t>
            </w:r>
          </w:p>
          <w:p>
            <w:pPr>
              <w:spacing w:before="40" w:after="40"/>
            </w:pPr>
            <w:r>
              <w:rPr>
                <w:rFonts w:ascii="Arial" w:cs="Arial" w:eastAsia="Arial" w:hAnsi="Arial"/>
                <w:color w:val="1E293B"/>
                <w:sz w:val="20"/>
                <w:szCs w:val="20"/>
              </w:rPr>
              <w:t xml:space="preserve">5. All LLM prompts for the RAG agent must instruct the model to extract only explicitly stated information.</w:t>
            </w:r>
          </w:p>
          <w:p>
            <w:pPr>
              <w:spacing w:before="40" w:after="40"/>
            </w:pPr>
            <w:r>
              <w:rPr>
                <w:rFonts w:ascii="Arial" w:cs="Arial" w:eastAsia="Arial" w:hAnsi="Arial"/>
                <w:color w:val="1E293B"/>
                <w:sz w:val="20"/>
                <w:szCs w:val="20"/>
              </w:rPr>
              <w:t xml:space="preserve">6. The system must degrade gracefully: if an agent fails, the report is generated without it, with a clear warning.</w:t>
            </w:r>
          </w:p>
        </w:tc>
      </w:tr>
    </w:tbl>
    <w:p>
      <w:pPr>
        <w:spacing w:before="300" w:after="100"/>
      </w:pPr>
    </w:p>
    <w:p>
      <w:pPr>
        <w:spacing w:before="160" w:after="80"/>
        <w:jc w:val="center"/>
      </w:pPr>
      <w:r>
        <w:rPr>
          <w:rFonts w:ascii="Arial" w:cs="Arial" w:eastAsia="Arial" w:hAnsi="Arial"/>
          <w:color w:val="2563EB"/>
          <w:sz w:val="20"/>
          <w:szCs w:val="20"/>
        </w:rPr>
        <w:t xml:space="preserve">━━━━━━━━━━━━━━━━━━━━━━━━━━━━━━━━━━━━━━━━━━━━━━━━━━━━━━</w:t>
      </w:r>
    </w:p>
    <w:p>
      <w:pPr>
        <w:spacing w:before="60" w:after="60"/>
        <w:jc w:val="center"/>
      </w:pPr>
      <w:r>
        <w:rPr>
          <w:rFonts w:ascii="Arial" w:cs="Arial" w:eastAsia="Arial" w:hAnsi="Arial"/>
          <w:b/>
          <w:bCs/>
          <w:color w:val="1E3A5F"/>
          <w:sz w:val="22"/>
          <w:szCs w:val="22"/>
        </w:rPr>
        <w:t xml:space="preserve">CashCrew Technical Specification v1.0</w:t>
      </w:r>
    </w:p>
    <w:p>
      <w:pPr>
        <w:spacing w:before="40" w:after="40"/>
        <w:jc w:val="center"/>
      </w:pPr>
      <w:r>
        <w:rPr>
          <w:rFonts w:ascii="Arial" w:cs="Arial" w:eastAsia="Arial" w:hAnsi="Arial"/>
          <w:i/>
          <w:iCs/>
          <w:color w:val="64748B"/>
          <w:sz w:val="18"/>
          <w:szCs w:val="18"/>
        </w:rPr>
        <w:t xml:space="preserve">For internal build use. This document defines the complete technical contract for the CashCrew multi-agent system.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spacing w:before="120" w:after="0"/>
    </w:pPr>
    <w:r>
      <w:rPr>
        <w:rFonts w:ascii="Arial" w:cs="Arial" w:eastAsia="Arial" w:hAnsi="Arial"/>
        <w:color w:val="64748B"/>
        <w:sz w:val="16"/>
        <w:szCs w:val="16"/>
      </w:rPr>
      <w:t xml:space="preserve">CashCrew Technical Specification  ·  Confidential  ·  Page </w:t>
    </w:r>
    <w:r>
      <w:rPr>
        <w:rFonts w:ascii="Arial" w:cs="Arial" w:eastAsia="Arial" w:hAnsi="Arial"/>
        <w:color w:val="64748B"/>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2"/>
      </w:pBdr>
      <w:spacing w:before="0" w:after="120"/>
    </w:pPr>
    <w:r>
      <w:rPr>
        <w:rFonts w:ascii="Arial" w:cs="Arial" w:eastAsia="Arial" w:hAnsi="Arial"/>
        <w:b/>
        <w:bCs/>
        <w:color w:val="1E3A5F"/>
        <w:sz w:val="18"/>
        <w:szCs w:val="18"/>
      </w:rPr>
      <w:t xml:space="preserve">💰 CashCrew</w:t>
    </w:r>
    <w:r>
      <w:rPr>
        <w:rFonts w:ascii="Arial" w:cs="Arial" w:eastAsia="Arial" w:hAnsi="Arial"/>
        <w:color w:val="64748B"/>
        <w:sz w:val="16"/>
        <w:szCs w:val="16"/>
      </w:rPr>
      <w:t xml:space="preserve">   |   Explainable Multi-Agent Financial Intelligence System   |   Technical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00" w:hanging="300"/>
      </w:pPr>
      <w:rPr>
        <w:rFonts w:ascii="Arial" w:cs="Arial" w:eastAsia="Arial" w:hAnsi="Arial"/>
        <w:color w:val="1E293B"/>
        <w:sz w:val="22"/>
        <w:szCs w:val="22"/>
      </w:rPr>
    </w:lvl>
    <w:lvl w:ilvl="1" w15:tentative="1">
      <w:start w:val="1"/>
      <w:numFmt w:val="bullet"/>
      <w:lvlText w:val="◦"/>
      <w:lvlJc w:val="left"/>
      <w:pPr>
        <w:spacing w:before="20" w:after="20"/>
        <w:ind w:left="900" w:hanging="300"/>
      </w:pPr>
      <w:rPr>
        <w:rFonts w:ascii="Arial" w:cs="Arial" w:eastAsia="Arial" w:hAnsi="Arial"/>
        <w:color w:val="64748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2026-03-20T10:13:07.280Z</dcterms:created>
  <dcterms:modified xsi:type="dcterms:W3CDTF">2026-03-20T10:13:07.281Z</dcterms:modified>
</cp:coreProperties>
</file>

<file path=docProps/custom.xml><?xml version="1.0" encoding="utf-8"?>
<Properties xmlns="http://schemas.openxmlformats.org/officeDocument/2006/custom-properties" xmlns:vt="http://schemas.openxmlformats.org/officeDocument/2006/docPropsVTypes"/>
</file>