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200"/>
        <w:jc w:val="center"/>
      </w:pPr>
      <w:r>
        <w:rPr>
          <w:b/>
          <w:i w:val="0"/>
          <w:color w:val="2563A8"/>
          <w:sz w:val="44"/>
        </w:rPr>
        <w:t>Cloud-Based Wearable Health Analytics Platform using Edge–Cloud Intelligence</w:t>
      </w:r>
    </w:p>
    <w:p>
      <w:pPr>
        <w:spacing w:after="560"/>
        <w:jc w:val="center"/>
      </w:pPr>
      <w:r>
        <w:rPr>
          <w:b w:val="0"/>
          <w:i w:val="0"/>
          <w:color w:val="5B6672"/>
          <w:sz w:val="26"/>
        </w:rPr>
        <w:t>Project Documentation — Planning &amp; Design Phase</w:t>
      </w:r>
    </w:p>
    <w:p>
      <w:pPr>
        <w:spacing w:after="440"/>
        <w:jc w:val="center"/>
      </w:pPr>
      <w:r>
        <w:rPr>
          <w:b/>
          <w:i w:val="0"/>
          <w:sz w:val="24"/>
        </w:rPr>
        <w:t>Course: Cloud Computing</w:t>
      </w:r>
    </w:p>
    <w:tbl>
      <w:tblPr>
        <w:tblStyle w:val="TableGrid"/>
        <w:tblW w:type="auto" w:w="0"/>
        <w:jc w:val="center"/>
        <w:tblLayout w:type="fixed"/>
        <w:tblLook w:firstColumn="1" w:firstRow="1" w:lastColumn="0" w:lastRow="0" w:noHBand="0" w:noVBand="1" w:val="04A0"/>
        <w:tblLayout w:type="fixed"/>
      </w:tblPr>
      <w:tblGrid>
        <w:gridCol w:w="576"/>
        <w:gridCol w:w="2736"/>
        <w:gridCol w:w="2160"/>
        <w:gridCol w:w="4464"/>
      </w:tblGrid>
      <w:tr>
        <w:tc>
          <w:tcPr>
            <w:tcW w:type="dxa" w:w="576"/>
            <w:shd w:val="clear" w:fill="D9E3F0"/>
          </w:tcPr>
          <w:p>
            <w:r/>
            <w:r>
              <w:rPr>
                <w:b/>
                <w:sz w:val="21"/>
              </w:rPr>
              <w:t>#</w:t>
            </w:r>
          </w:p>
        </w:tc>
        <w:tc>
          <w:tcPr>
            <w:tcW w:type="dxa" w:w="2736"/>
            <w:shd w:val="clear" w:fill="D9E3F0"/>
          </w:tcPr>
          <w:p>
            <w:r/>
            <w:r>
              <w:rPr>
                <w:b/>
                <w:sz w:val="21"/>
              </w:rPr>
              <w:t>Name</w:t>
            </w:r>
          </w:p>
        </w:tc>
        <w:tc>
          <w:tcPr>
            <w:tcW w:type="dxa" w:w="2160"/>
            <w:shd w:val="clear" w:fill="D9E3F0"/>
          </w:tcPr>
          <w:p>
            <w:r/>
            <w:r>
              <w:rPr>
                <w:b/>
                <w:sz w:val="21"/>
              </w:rPr>
              <w:t>Registration No.</w:t>
            </w:r>
          </w:p>
        </w:tc>
        <w:tc>
          <w:tcPr>
            <w:tcW w:type="dxa" w:w="4464"/>
            <w:shd w:val="clear" w:fill="D9E3F0"/>
          </w:tcPr>
          <w:p>
            <w:r/>
            <w:r>
              <w:rPr>
                <w:b/>
                <w:sz w:val="21"/>
              </w:rPr>
              <w:t>Area of Responsibility</w:t>
            </w:r>
          </w:p>
        </w:tc>
      </w:tr>
      <w:tr>
        <w:tc>
          <w:tcPr>
            <w:tcW w:type="dxa" w:w="576"/>
          </w:tcPr>
          <w:p>
            <w:pPr>
              <w:spacing w:after="40"/>
            </w:pPr>
            <w:r/>
            <w:r>
              <w:rPr>
                <w:sz w:val="21"/>
              </w:rPr>
              <w:t>1</w:t>
            </w:r>
          </w:p>
        </w:tc>
        <w:tc>
          <w:tcPr>
            <w:tcW w:type="dxa" w:w="2736"/>
          </w:tcPr>
          <w:p>
            <w:pPr>
              <w:spacing w:after="40"/>
            </w:pPr>
            <w:r/>
            <w:r>
              <w:rPr>
                <w:sz w:val="21"/>
              </w:rPr>
              <w:t>Krish Agarwal</w:t>
            </w:r>
          </w:p>
        </w:tc>
        <w:tc>
          <w:tcPr>
            <w:tcW w:type="dxa" w:w="2160"/>
          </w:tcPr>
          <w:p>
            <w:pPr>
              <w:spacing w:after="40"/>
            </w:pPr>
            <w:r/>
            <w:r>
              <w:rPr>
                <w:sz w:val="21"/>
              </w:rPr>
              <w:t>23BIT0427</w:t>
            </w:r>
          </w:p>
        </w:tc>
        <w:tc>
          <w:tcPr>
            <w:tcW w:type="dxa" w:w="4464"/>
          </w:tcPr>
          <w:p>
            <w:pPr>
              <w:spacing w:after="40"/>
            </w:pPr>
            <w:r/>
            <w:r>
              <w:rPr>
                <w:sz w:val="21"/>
              </w:rPr>
              <w:t>Cloud Infrastructure, DevOps, Backend &amp; Data</w:t>
            </w:r>
          </w:p>
        </w:tc>
      </w:tr>
      <w:tr>
        <w:tc>
          <w:tcPr>
            <w:tcW w:type="dxa" w:w="576"/>
          </w:tcPr>
          <w:p>
            <w:pPr>
              <w:spacing w:after="40"/>
            </w:pPr>
            <w:r/>
            <w:r>
              <w:rPr>
                <w:sz w:val="21"/>
              </w:rPr>
              <w:t>2</w:t>
            </w:r>
          </w:p>
        </w:tc>
        <w:tc>
          <w:tcPr>
            <w:tcW w:type="dxa" w:w="2736"/>
          </w:tcPr>
          <w:p>
            <w:pPr>
              <w:spacing w:after="40"/>
            </w:pPr>
            <w:r/>
            <w:r>
              <w:rPr>
                <w:sz w:val="21"/>
              </w:rPr>
              <w:t>Monis Raza</w:t>
            </w:r>
          </w:p>
        </w:tc>
        <w:tc>
          <w:tcPr>
            <w:tcW w:type="dxa" w:w="2160"/>
          </w:tcPr>
          <w:p>
            <w:pPr>
              <w:spacing w:after="40"/>
            </w:pPr>
            <w:r/>
            <w:r>
              <w:rPr>
                <w:sz w:val="21"/>
              </w:rPr>
              <w:t>23BIT228</w:t>
            </w:r>
          </w:p>
        </w:tc>
        <w:tc>
          <w:tcPr>
            <w:tcW w:type="dxa" w:w="4464"/>
          </w:tcPr>
          <w:p>
            <w:pPr>
              <w:spacing w:after="40"/>
            </w:pPr>
            <w:r/>
            <w:r>
              <w:rPr>
                <w:sz w:val="21"/>
              </w:rPr>
              <w:t>AI/ML &amp; Edge Intelligence</w:t>
            </w:r>
          </w:p>
        </w:tc>
      </w:tr>
      <w:tr>
        <w:tc>
          <w:tcPr>
            <w:tcW w:type="dxa" w:w="576"/>
          </w:tcPr>
          <w:p>
            <w:pPr>
              <w:spacing w:after="40"/>
            </w:pPr>
            <w:r/>
            <w:r>
              <w:rPr>
                <w:sz w:val="21"/>
              </w:rPr>
              <w:t>3</w:t>
            </w:r>
          </w:p>
        </w:tc>
        <w:tc>
          <w:tcPr>
            <w:tcW w:type="dxa" w:w="2736"/>
          </w:tcPr>
          <w:p>
            <w:pPr>
              <w:spacing w:after="40"/>
            </w:pPr>
            <w:r/>
            <w:r>
              <w:rPr>
                <w:sz w:val="21"/>
              </w:rPr>
              <w:t>Rudra Srivastav</w:t>
            </w:r>
          </w:p>
        </w:tc>
        <w:tc>
          <w:tcPr>
            <w:tcW w:type="dxa" w:w="2160"/>
          </w:tcPr>
          <w:p>
            <w:pPr>
              <w:spacing w:after="40"/>
            </w:pPr>
            <w:r/>
            <w:r>
              <w:rPr>
                <w:sz w:val="21"/>
              </w:rPr>
              <w:t>23BIT174</w:t>
            </w:r>
          </w:p>
        </w:tc>
        <w:tc>
          <w:tcPr>
            <w:tcW w:type="dxa" w:w="4464"/>
          </w:tcPr>
          <w:p>
            <w:pPr>
              <w:spacing w:after="40"/>
            </w:pPr>
            <w:r/>
            <w:r>
              <w:rPr>
                <w:sz w:val="21"/>
              </w:rPr>
              <w:t>Frontend, Visualisation &amp; Documentation</w:t>
            </w:r>
          </w:p>
        </w:tc>
      </w:tr>
    </w:tbl>
    <w:p>
      <w:pPr>
        <w:spacing w:after="80"/>
      </w:pPr>
    </w:p>
    <w:p/>
    <w:p>
      <w:pPr>
        <w:spacing w:after="40"/>
        <w:jc w:val="center"/>
      </w:pPr>
      <w:r>
        <w:rPr>
          <w:b/>
          <w:i w:val="0"/>
          <w:sz w:val="22"/>
        </w:rPr>
        <w:t>GitHub Repository</w:t>
      </w:r>
    </w:p>
    <w:p>
      <w:pPr>
        <w:spacing w:after="360"/>
        <w:jc w:val="center"/>
      </w:pPr>
      <w:r>
        <w:rPr>
          <w:b w:val="0"/>
          <w:i w:val="0"/>
          <w:color w:val="2563A8"/>
          <w:sz w:val="21"/>
        </w:rPr>
        <w:t>https://github.com/krishagarwal314/edge-cloud-wearable-health-analytics</w:t>
      </w:r>
    </w:p>
    <w:p>
      <w:pPr>
        <w:spacing w:after="120"/>
        <w:jc w:val="center"/>
      </w:pPr>
      <w:r>
        <w:rPr>
          <w:b w:val="0"/>
          <w:i/>
          <w:color w:val="5B6672"/>
          <w:sz w:val="20"/>
        </w:rPr>
        <w:t>Status: planning and design phase — code implementation not required at this stage.</w:t>
      </w:r>
    </w:p>
    <w:p>
      <w:r>
        <w:br w:type="page"/>
      </w:r>
    </w:p>
    <w:p>
      <w:pPr>
        <w:pStyle w:val="Heading1"/>
        <w:spacing w:before="280" w:after="120"/>
      </w:pPr>
      <w:r>
        <w:t>Table of Contents</w:t>
      </w:r>
    </w:p>
    <w:p>
      <w:pPr>
        <w:spacing w:after="80"/>
      </w:pPr>
      <w:r>
        <w:rPr>
          <w:b/>
        </w:rPr>
        <w:t xml:space="preserve">1.  </w:t>
      </w:r>
      <w:r>
        <w:t>Problem Statement</w:t>
      </w:r>
    </w:p>
    <w:p>
      <w:pPr>
        <w:spacing w:after="80"/>
      </w:pPr>
      <w:r>
        <w:rPr>
          <w:b/>
        </w:rPr>
        <w:t xml:space="preserve">2.  </w:t>
      </w:r>
      <w:r>
        <w:t>Objectives</w:t>
      </w:r>
    </w:p>
    <w:p>
      <w:pPr>
        <w:spacing w:after="80"/>
      </w:pPr>
      <w:r>
        <w:rPr>
          <w:b/>
        </w:rPr>
        <w:t xml:space="preserve">3.  </w:t>
      </w:r>
      <w:r>
        <w:t>Literature Survey</w:t>
      </w:r>
    </w:p>
    <w:p>
      <w:pPr>
        <w:spacing w:after="80"/>
      </w:pPr>
      <w:r>
        <w:rPr>
          <w:b/>
        </w:rPr>
        <w:t xml:space="preserve">4.  </w:t>
      </w:r>
      <w:r>
        <w:t>Research Gap Analysis</w:t>
      </w:r>
    </w:p>
    <w:p>
      <w:pPr>
        <w:spacing w:after="80"/>
      </w:pPr>
      <w:r>
        <w:rPr>
          <w:b/>
        </w:rPr>
        <w:t xml:space="preserve">5.  </w:t>
      </w:r>
      <w:r>
        <w:t>Proposed Architecture / Framework</w:t>
      </w:r>
    </w:p>
    <w:p>
      <w:pPr>
        <w:spacing w:after="80"/>
      </w:pPr>
      <w:r>
        <w:rPr>
          <w:b/>
        </w:rPr>
        <w:t xml:space="preserve">6.  </w:t>
      </w:r>
      <w:r>
        <w:t>Technology Stack</w:t>
      </w:r>
    </w:p>
    <w:p>
      <w:pPr>
        <w:spacing w:after="80"/>
      </w:pPr>
      <w:r>
        <w:rPr>
          <w:b/>
        </w:rPr>
        <w:t xml:space="preserve">7.  </w:t>
      </w:r>
      <w:r>
        <w:t>Dataset Details</w:t>
      </w:r>
    </w:p>
    <w:p>
      <w:pPr>
        <w:spacing w:after="80"/>
      </w:pPr>
      <w:r>
        <w:rPr>
          <w:b/>
        </w:rPr>
        <w:t xml:space="preserve">8.  </w:t>
      </w:r>
      <w:r>
        <w:t>Repository Structure</w:t>
      </w:r>
    </w:p>
    <w:p>
      <w:pPr>
        <w:spacing w:after="80"/>
      </w:pPr>
      <w:r>
        <w:rPr>
          <w:b/>
        </w:rPr>
        <w:t xml:space="preserve">9.  </w:t>
      </w:r>
      <w:r>
        <w:t>Work Distribution &amp; Individual Contribution</w:t>
      </w:r>
    </w:p>
    <w:p>
      <w:pPr>
        <w:spacing w:after="80"/>
      </w:pPr>
      <w:r>
        <w:rPr>
          <w:b/>
        </w:rPr>
        <w:t xml:space="preserve">10.  </w:t>
      </w:r>
      <w:r>
        <w:t>Work Completed So Far</w:t>
      </w:r>
    </w:p>
    <w:p>
      <w:pPr>
        <w:spacing w:after="80"/>
      </w:pPr>
      <w:r>
        <w:rPr>
          <w:b/>
        </w:rPr>
        <w:t xml:space="preserve">11.  </w:t>
      </w:r>
      <w:r>
        <w:t>Limitations, Ethics &amp; Future Work</w:t>
      </w:r>
    </w:p>
    <w:p>
      <w:pPr>
        <w:spacing w:after="80"/>
      </w:pPr>
      <w:r>
        <w:rPr>
          <w:b/>
        </w:rPr>
        <w:t xml:space="preserve">12.  </w:t>
      </w:r>
      <w:r>
        <w:t>References</w:t>
      </w:r>
    </w:p>
    <w:p>
      <w:r>
        <w:br w:type="page"/>
      </w:r>
    </w:p>
    <w:p>
      <w:pPr>
        <w:pStyle w:val="Heading1"/>
        <w:spacing w:before="280" w:after="120"/>
      </w:pPr>
      <w:r>
        <w:t>1.  Problem Statement</w:t>
      </w:r>
    </w:p>
    <w:p>
      <w:pPr>
        <w:spacing w:after="120"/>
      </w:pPr>
      <w:r>
        <w:rPr>
          <w:b w:val="0"/>
          <w:i w:val="0"/>
        </w:rPr>
        <w:t>Consumer wearables — smartwatches, chest straps and pulse oximeters — generate a continuous, high-frequency stream of physiological data including heart rate, ECG, blood-oxygen saturation, skin temperature and accelerometry. In practice this data remains largely under-used, for three reasons.</w:t>
      </w:r>
    </w:p>
    <w:p>
      <w:pPr>
        <w:pStyle w:val="ListBullet"/>
        <w:spacing w:after="60"/>
      </w:pPr>
      <w:r>
        <w:rPr>
          <w:b/>
        </w:rPr>
        <w:t xml:space="preserve">Bandwidth, energy and cost.  </w:t>
      </w:r>
      <w:r>
        <w:t>Continuously streaming raw high-rate signals such as 125 Hz ECG to the cloud for every user is expensive and drains device battery, and the overwhelming majority of those samples are clinically uninteresting.</w:t>
      </w:r>
    </w:p>
    <w:p>
      <w:pPr>
        <w:pStyle w:val="ListBullet"/>
        <w:spacing w:after="60"/>
      </w:pPr>
      <w:r>
        <w:rPr>
          <w:b/>
        </w:rPr>
        <w:t xml:space="preserve">Latency of critical alerts.  </w:t>
      </w:r>
      <w:r>
        <w:t>A cardiac event detected only after a round trip to a remote data centre — or after an overnight batch job — is detected too late to be clinically useful.</w:t>
      </w:r>
    </w:p>
    <w:p>
      <w:pPr>
        <w:pStyle w:val="ListBullet"/>
        <w:spacing w:after="60"/>
      </w:pPr>
      <w:r>
        <w:rPr>
          <w:b/>
        </w:rPr>
        <w:t xml:space="preserve">Fragmentation.  </w:t>
      </w:r>
      <w:r>
        <w:t>Vendor applications silo the data. Clinicians and researchers receive summary dashboards rather than queryable longitudinal records, and cannot substitute their own models.</w:t>
      </w:r>
    </w:p>
    <w:p>
      <w:pPr>
        <w:pStyle w:val="Heading2"/>
        <w:spacing w:before="200" w:after="120"/>
      </w:pPr>
      <w:r>
        <w:t>Problem addressed by this project</w:t>
      </w:r>
    </w:p>
    <w:p>
      <w:pPr>
        <w:spacing w:after="120"/>
      </w:pPr>
      <w:r>
        <w:rPr>
          <w:b w:val="0"/>
          <w:i/>
        </w:rPr>
        <w:t>How can we build a low-cost, scalable health-analytics pipeline that detects physiological anomalies in near-real-time, without transmitting every raw sample to the cloud, while still preserving enough data for longitudinal analysis and model retraining?</w:t>
      </w:r>
    </w:p>
    <w:p>
      <w:pPr>
        <w:spacing w:after="120"/>
      </w:pPr>
      <w:r>
        <w:rPr>
          <w:b w:val="0"/>
          <w:i w:val="0"/>
        </w:rPr>
        <w:t>Our answer is an edge–cloud split-intelligence architecture. A lightweight quantised anomaly detector runs on the wearable gateway and forwards only (a) periodic compact summaries and (b) full-fidelity signal windows surrounding suspicious events. The cloud tier — built entirely from AWS Free Tier serverless components — performs confirmation inference, persistence, alerting and visualisation.</w:t>
      </w:r>
    </w:p>
    <w:p>
      <w:pPr>
        <w:pStyle w:val="Heading1"/>
        <w:spacing w:before="280" w:after="120"/>
      </w:pPr>
      <w:r>
        <w:t>2.  Objectives</w:t>
      </w:r>
    </w:p>
    <w:p>
      <w:pPr>
        <w:pStyle w:val="Heading2"/>
        <w:spacing w:before="200" w:after="120"/>
      </w:pPr>
      <w:r>
        <w:t>Primary objectives</w:t>
      </w:r>
    </w:p>
    <w:tbl>
      <w:tblPr>
        <w:tblStyle w:val="TableGrid"/>
        <w:tblW w:type="auto" w:w="0"/>
        <w:jc w:val="center"/>
        <w:tblLayout w:type="fixed"/>
        <w:tblLook w:firstColumn="1" w:firstRow="1" w:lastColumn="0" w:lastRow="0" w:noHBand="0" w:noVBand="1" w:val="04A0"/>
        <w:tblLayout w:type="fixed"/>
      </w:tblPr>
      <w:tblGrid>
        <w:gridCol w:w="720"/>
        <w:gridCol w:w="9216"/>
      </w:tblGrid>
      <w:tr>
        <w:tc>
          <w:tcPr>
            <w:tcW w:type="dxa" w:w="720"/>
            <w:shd w:val="clear" w:fill="D9E3F0"/>
          </w:tcPr>
          <w:p>
            <w:r/>
            <w:r>
              <w:rPr>
                <w:b/>
                <w:sz w:val="19"/>
              </w:rPr>
              <w:t>ID</w:t>
            </w:r>
          </w:p>
        </w:tc>
        <w:tc>
          <w:tcPr>
            <w:tcW w:type="dxa" w:w="9216"/>
            <w:shd w:val="clear" w:fill="D9E3F0"/>
          </w:tcPr>
          <w:p>
            <w:r/>
            <w:r>
              <w:rPr>
                <w:b/>
                <w:sz w:val="19"/>
              </w:rPr>
              <w:t>Objective</w:t>
            </w:r>
          </w:p>
        </w:tc>
      </w:tr>
      <w:tr>
        <w:tc>
          <w:tcPr>
            <w:tcW w:type="dxa" w:w="720"/>
          </w:tcPr>
          <w:p>
            <w:pPr>
              <w:spacing w:after="40"/>
            </w:pPr>
            <w:r/>
            <w:r>
              <w:rPr>
                <w:sz w:val="19"/>
              </w:rPr>
              <w:t>O1</w:t>
            </w:r>
          </w:p>
        </w:tc>
        <w:tc>
          <w:tcPr>
            <w:tcW w:type="dxa" w:w="9216"/>
          </w:tcPr>
          <w:p>
            <w:pPr>
              <w:spacing w:after="40"/>
            </w:pPr>
            <w:r/>
            <w:r>
              <w:rPr>
                <w:sz w:val="19"/>
              </w:rPr>
              <w:t>Design and implement an end-to-end edge-to-cloud telemetry pipeline for wearable vital signs using AWS IoT Core, AWS Lambda and Amazon DynamoDB.</w:t>
            </w:r>
          </w:p>
        </w:tc>
      </w:tr>
      <w:tr>
        <w:tc>
          <w:tcPr>
            <w:tcW w:type="dxa" w:w="720"/>
          </w:tcPr>
          <w:p>
            <w:pPr>
              <w:spacing w:after="40"/>
            </w:pPr>
            <w:r/>
            <w:r>
              <w:rPr>
                <w:sz w:val="19"/>
              </w:rPr>
              <w:t>O2</w:t>
            </w:r>
          </w:p>
        </w:tc>
        <w:tc>
          <w:tcPr>
            <w:tcW w:type="dxa" w:w="9216"/>
          </w:tcPr>
          <w:p>
            <w:pPr>
              <w:spacing w:after="40"/>
            </w:pPr>
            <w:r/>
            <w:r>
              <w:rPr>
                <w:sz w:val="19"/>
              </w:rPr>
              <w:t>Train a lightweight anomaly-detection model (1-D convolutional autoencoder over ECG/HR windows), quantise it to TensorFlow Lite under 500 KB, and execute it on the edge gateway.</w:t>
            </w:r>
          </w:p>
        </w:tc>
      </w:tr>
      <w:tr>
        <w:tc>
          <w:tcPr>
            <w:tcW w:type="dxa" w:w="720"/>
          </w:tcPr>
          <w:p>
            <w:pPr>
              <w:spacing w:after="40"/>
            </w:pPr>
            <w:r/>
            <w:r>
              <w:rPr>
                <w:sz w:val="19"/>
              </w:rPr>
              <w:t>O3</w:t>
            </w:r>
          </w:p>
        </w:tc>
        <w:tc>
          <w:tcPr>
            <w:tcW w:type="dxa" w:w="9216"/>
          </w:tcPr>
          <w:p>
            <w:pPr>
              <w:spacing w:after="40"/>
            </w:pPr>
            <w:r/>
            <w:r>
              <w:rPr>
                <w:sz w:val="19"/>
              </w:rPr>
              <w:t>Implement a two-stage inference cascade — cheap edge screening followed by higher-capacity cloud confirmation — and quantify the bandwidth saved relative to a naive stream-everything baseline.</w:t>
            </w:r>
          </w:p>
        </w:tc>
      </w:tr>
      <w:tr>
        <w:tc>
          <w:tcPr>
            <w:tcW w:type="dxa" w:w="720"/>
          </w:tcPr>
          <w:p>
            <w:pPr>
              <w:spacing w:after="40"/>
            </w:pPr>
            <w:r/>
            <w:r>
              <w:rPr>
                <w:sz w:val="19"/>
              </w:rPr>
              <w:t>O4</w:t>
            </w:r>
          </w:p>
        </w:tc>
        <w:tc>
          <w:tcPr>
            <w:tcW w:type="dxa" w:w="9216"/>
          </w:tcPr>
          <w:p>
            <w:pPr>
              <w:spacing w:after="40"/>
            </w:pPr>
            <w:r/>
            <w:r>
              <w:rPr>
                <w:sz w:val="19"/>
              </w:rPr>
              <w:t>Deploy the entire cloud tier within AWS Free Tier limits, targeting a $0 monthly bill, with all infrastructure defined as code (CloudFormation/SAM).</w:t>
            </w:r>
          </w:p>
        </w:tc>
      </w:tr>
      <w:tr>
        <w:tc>
          <w:tcPr>
            <w:tcW w:type="dxa" w:w="720"/>
          </w:tcPr>
          <w:p>
            <w:pPr>
              <w:spacing w:after="40"/>
            </w:pPr>
            <w:r/>
            <w:r>
              <w:rPr>
                <w:sz w:val="19"/>
              </w:rPr>
              <w:t>O5</w:t>
            </w:r>
          </w:p>
        </w:tc>
        <w:tc>
          <w:tcPr>
            <w:tcW w:type="dxa" w:w="9216"/>
          </w:tcPr>
          <w:p>
            <w:pPr>
              <w:spacing w:after="40"/>
            </w:pPr>
            <w:r/>
            <w:r>
              <w:rPr>
                <w:sz w:val="19"/>
              </w:rPr>
              <w:t>Deliver a responsive web dashboard for live vitals, historical trends and an alert timeline, secured with Amazon Cognito.</w:t>
            </w:r>
          </w:p>
        </w:tc>
      </w:tr>
    </w:tbl>
    <w:p>
      <w:pPr>
        <w:spacing w:after="80"/>
      </w:pPr>
    </w:p>
    <w:p>
      <w:pPr>
        <w:pStyle w:val="Heading2"/>
        <w:spacing w:before="200" w:after="120"/>
      </w:pPr>
      <w:r>
        <w:t>Secondary objectives</w:t>
      </w:r>
    </w:p>
    <w:tbl>
      <w:tblPr>
        <w:tblStyle w:val="TableGrid"/>
        <w:tblW w:type="auto" w:w="0"/>
        <w:jc w:val="center"/>
        <w:tblLayout w:type="fixed"/>
        <w:tblLook w:firstColumn="1" w:firstRow="1" w:lastColumn="0" w:lastRow="0" w:noHBand="0" w:noVBand="1" w:val="04A0"/>
        <w:tblLayout w:type="fixed"/>
      </w:tblPr>
      <w:tblGrid>
        <w:gridCol w:w="720"/>
        <w:gridCol w:w="9216"/>
      </w:tblGrid>
      <w:tr>
        <w:tc>
          <w:tcPr>
            <w:tcW w:type="dxa" w:w="720"/>
            <w:shd w:val="clear" w:fill="D9E3F0"/>
          </w:tcPr>
          <w:p>
            <w:r/>
            <w:r>
              <w:rPr>
                <w:b/>
                <w:sz w:val="19"/>
              </w:rPr>
              <w:t>ID</w:t>
            </w:r>
          </w:p>
        </w:tc>
        <w:tc>
          <w:tcPr>
            <w:tcW w:type="dxa" w:w="9216"/>
            <w:shd w:val="clear" w:fill="D9E3F0"/>
          </w:tcPr>
          <w:p>
            <w:r/>
            <w:r>
              <w:rPr>
                <w:b/>
                <w:sz w:val="19"/>
              </w:rPr>
              <w:t>Objective</w:t>
            </w:r>
          </w:p>
        </w:tc>
      </w:tr>
      <w:tr>
        <w:tc>
          <w:tcPr>
            <w:tcW w:type="dxa" w:w="720"/>
          </w:tcPr>
          <w:p>
            <w:pPr>
              <w:spacing w:after="40"/>
            </w:pPr>
            <w:r/>
            <w:r>
              <w:rPr>
                <w:sz w:val="19"/>
              </w:rPr>
              <w:t>O6</w:t>
            </w:r>
          </w:p>
        </w:tc>
        <w:tc>
          <w:tcPr>
            <w:tcW w:type="dxa" w:w="9216"/>
          </w:tcPr>
          <w:p>
            <w:pPr>
              <w:spacing w:after="40"/>
            </w:pPr>
            <w:r/>
            <w:r>
              <w:rPr>
                <w:sz w:val="19"/>
              </w:rPr>
              <w:t>Provide an event-driven alerting path (SNS → email/SMS) with under 5 s end-to-end latency from anomalous sample to notification.</w:t>
            </w:r>
          </w:p>
        </w:tc>
      </w:tr>
      <w:tr>
        <w:tc>
          <w:tcPr>
            <w:tcW w:type="dxa" w:w="720"/>
          </w:tcPr>
          <w:p>
            <w:pPr>
              <w:spacing w:after="40"/>
            </w:pPr>
            <w:r/>
            <w:r>
              <w:rPr>
                <w:sz w:val="19"/>
              </w:rPr>
              <w:t>O7</w:t>
            </w:r>
          </w:p>
        </w:tc>
        <w:tc>
          <w:tcPr>
            <w:tcW w:type="dxa" w:w="9216"/>
          </w:tcPr>
          <w:p>
            <w:pPr>
              <w:spacing w:after="40"/>
            </w:pPr>
            <w:r/>
            <w:r>
              <w:rPr>
                <w:sz w:val="19"/>
              </w:rPr>
              <w:t>Benchmark the system: ingestion throughput, end-to-end latency, model accuracy (precision, recall, F1) and cost-per-1000-devices projection.</w:t>
            </w:r>
          </w:p>
        </w:tc>
      </w:tr>
      <w:tr>
        <w:tc>
          <w:tcPr>
            <w:tcW w:type="dxa" w:w="720"/>
          </w:tcPr>
          <w:p>
            <w:pPr>
              <w:spacing w:after="40"/>
            </w:pPr>
            <w:r/>
            <w:r>
              <w:rPr>
                <w:sz w:val="19"/>
              </w:rPr>
              <w:t>O8</w:t>
            </w:r>
          </w:p>
        </w:tc>
        <w:tc>
          <w:tcPr>
            <w:tcW w:type="dxa" w:w="9216"/>
          </w:tcPr>
          <w:p>
            <w:pPr>
              <w:spacing w:after="40"/>
            </w:pPr>
            <w:r/>
            <w:r>
              <w:rPr>
                <w:sz w:val="19"/>
              </w:rPr>
              <w:t>Demonstrate elasticity by replaying a synthetic multi-device load and showing automatic Lambda concurrency scaling.</w:t>
            </w:r>
          </w:p>
        </w:tc>
      </w:tr>
    </w:tbl>
    <w:p>
      <w:pPr>
        <w:spacing w:after="80"/>
      </w:pPr>
    </w:p>
    <w:p>
      <w:r>
        <w:br w:type="page"/>
      </w:r>
    </w:p>
    <w:p>
      <w:pPr>
        <w:pStyle w:val="Heading1"/>
        <w:spacing w:before="280" w:after="120"/>
      </w:pPr>
      <w:r>
        <w:t>3.  Literature Survey</w:t>
      </w:r>
    </w:p>
    <w:p>
      <w:pPr>
        <w:pStyle w:val="Heading2"/>
        <w:spacing w:before="200" w:after="120"/>
      </w:pPr>
      <w:r>
        <w:t>3.1  Survey method</w:t>
      </w:r>
    </w:p>
    <w:p>
      <w:pPr>
        <w:pStyle w:val="ListBullet"/>
        <w:spacing w:after="60"/>
      </w:pPr>
      <w:r>
        <w:rPr>
          <w:b/>
        </w:rPr>
        <w:t xml:space="preserve">Databases searched:  </w:t>
      </w:r>
      <w:r>
        <w:t>IEEE Xplore, ACM Digital Library, ScienceDirect, PubMed, arXiv.</w:t>
      </w:r>
    </w:p>
    <w:p>
      <w:pPr>
        <w:pStyle w:val="ListBullet"/>
        <w:spacing w:after="60"/>
      </w:pPr>
      <w:r>
        <w:rPr>
          <w:b/>
        </w:rPr>
        <w:t xml:space="preserve">Inclusion criteria:  </w:t>
      </w:r>
      <w:r>
        <w:t>English, peer-reviewed or high-citation preprint, published 2015–2025, reporting either a system architecture or a quantitative evaluation.</w:t>
      </w:r>
    </w:p>
    <w:p>
      <w:pPr>
        <w:pStyle w:val="ListBullet"/>
        <w:spacing w:after="60"/>
      </w:pPr>
      <w:r>
        <w:rPr>
          <w:b/>
        </w:rPr>
        <w:t xml:space="preserve">Exclusion criteria:  </w:t>
      </w:r>
      <w:r>
        <w:t>purely clinical studies with no computational contribution; papers without evaluation.</w:t>
      </w:r>
    </w:p>
    <w:p>
      <w:pPr>
        <w:pStyle w:val="Heading2"/>
        <w:spacing w:before="200" w:after="120"/>
      </w:pPr>
      <w:r>
        <w:t>3.2  Theme A — IoT / cloud architectures for health monitoring</w:t>
      </w:r>
    </w:p>
    <w:tbl>
      <w:tblPr>
        <w:tblStyle w:val="TableGrid"/>
        <w:tblW w:type="auto" w:w="0"/>
        <w:jc w:val="center"/>
        <w:tblLayout w:type="fixed"/>
        <w:tblLook w:firstColumn="1" w:firstRow="1" w:lastColumn="0" w:lastRow="0" w:noHBand="0" w:noVBand="1" w:val="04A0"/>
        <w:tblLayout w:type="fixed"/>
      </w:tblPr>
      <w:tblGrid>
        <w:gridCol w:w="648"/>
        <w:gridCol w:w="2160"/>
        <w:gridCol w:w="3744"/>
        <w:gridCol w:w="3384"/>
      </w:tblGrid>
      <w:tr>
        <w:tc>
          <w:tcPr>
            <w:tcW w:type="dxa" w:w="648"/>
            <w:shd w:val="clear" w:fill="D9E3F0"/>
          </w:tcPr>
          <w:p>
            <w:r/>
            <w:r>
              <w:rPr>
                <w:b/>
                <w:sz w:val="18"/>
              </w:rPr>
              <w:t>Ref</w:t>
            </w:r>
          </w:p>
        </w:tc>
        <w:tc>
          <w:tcPr>
            <w:tcW w:type="dxa" w:w="2160"/>
            <w:shd w:val="clear" w:fill="D9E3F0"/>
          </w:tcPr>
          <w:p>
            <w:r/>
            <w:r>
              <w:rPr>
                <w:b/>
                <w:sz w:val="18"/>
              </w:rPr>
              <w:t>Work</w:t>
            </w:r>
          </w:p>
        </w:tc>
        <w:tc>
          <w:tcPr>
            <w:tcW w:type="dxa" w:w="3744"/>
            <w:shd w:val="clear" w:fill="D9E3F0"/>
          </w:tcPr>
          <w:p>
            <w:r/>
            <w:r>
              <w:rPr>
                <w:b/>
                <w:sz w:val="18"/>
              </w:rPr>
              <w:t>Contribution</w:t>
            </w:r>
          </w:p>
        </w:tc>
        <w:tc>
          <w:tcPr>
            <w:tcW w:type="dxa" w:w="3384"/>
            <w:shd w:val="clear" w:fill="D9E3F0"/>
          </w:tcPr>
          <w:p>
            <w:r/>
            <w:r>
              <w:rPr>
                <w:b/>
                <w:sz w:val="18"/>
              </w:rPr>
              <w:t>Limitation</w:t>
            </w:r>
          </w:p>
        </w:tc>
      </w:tr>
      <w:tr>
        <w:tc>
          <w:tcPr>
            <w:tcW w:type="dxa" w:w="648"/>
          </w:tcPr>
          <w:p>
            <w:pPr>
              <w:spacing w:after="40"/>
            </w:pPr>
            <w:r/>
            <w:r>
              <w:rPr>
                <w:sz w:val="18"/>
              </w:rPr>
              <w:t>[1]</w:t>
            </w:r>
          </w:p>
        </w:tc>
        <w:tc>
          <w:tcPr>
            <w:tcW w:type="dxa" w:w="2160"/>
          </w:tcPr>
          <w:p>
            <w:pPr>
              <w:spacing w:after="40"/>
            </w:pPr>
            <w:r/>
            <w:r>
              <w:rPr>
                <w:sz w:val="18"/>
              </w:rPr>
              <w:t>Islam et al., IEEE Access, 2015</w:t>
            </w:r>
          </w:p>
        </w:tc>
        <w:tc>
          <w:tcPr>
            <w:tcW w:type="dxa" w:w="3744"/>
          </w:tcPr>
          <w:p>
            <w:pPr>
              <w:spacing w:after="40"/>
            </w:pPr>
            <w:r/>
            <w:r>
              <w:rPr>
                <w:sz w:val="18"/>
              </w:rPr>
              <w:t>Foundational taxonomy of IoT healthcare across sensing, network, service and application layers.</w:t>
            </w:r>
          </w:p>
        </w:tc>
        <w:tc>
          <w:tcPr>
            <w:tcW w:type="dxa" w:w="3384"/>
          </w:tcPr>
          <w:p>
            <w:pPr>
              <w:spacing w:after="40"/>
            </w:pPr>
            <w:r/>
            <w:r>
              <w:rPr>
                <w:sz w:val="18"/>
              </w:rPr>
              <w:t>Pre-dates practical edge ML; cloud-centric; no cost analysis.</w:t>
            </w:r>
          </w:p>
        </w:tc>
      </w:tr>
      <w:tr>
        <w:tc>
          <w:tcPr>
            <w:tcW w:type="dxa" w:w="648"/>
          </w:tcPr>
          <w:p>
            <w:pPr>
              <w:spacing w:after="40"/>
            </w:pPr>
            <w:r/>
            <w:r>
              <w:rPr>
                <w:sz w:val="18"/>
              </w:rPr>
              <w:t>[2]</w:t>
            </w:r>
          </w:p>
        </w:tc>
        <w:tc>
          <w:tcPr>
            <w:tcW w:type="dxa" w:w="2160"/>
          </w:tcPr>
          <w:p>
            <w:pPr>
              <w:spacing w:after="40"/>
            </w:pPr>
            <w:r/>
            <w:r>
              <w:rPr>
                <w:sz w:val="18"/>
              </w:rPr>
              <w:t>Baker, Xiang &amp; Atkinson, IEEE Access, 2017</w:t>
            </w:r>
          </w:p>
        </w:tc>
        <w:tc>
          <w:tcPr>
            <w:tcW w:type="dxa" w:w="3744"/>
          </w:tcPr>
          <w:p>
            <w:pPr>
              <w:spacing w:after="40"/>
            </w:pPr>
            <w:r/>
            <w:r>
              <w:rPr>
                <w:sz w:val="18"/>
              </w:rPr>
              <w:t>Generic end-to-end IoT healthcare framework; identifies energy, security and interoperability as open issues.</w:t>
            </w:r>
          </w:p>
        </w:tc>
        <w:tc>
          <w:tcPr>
            <w:tcW w:type="dxa" w:w="3384"/>
          </w:tcPr>
          <w:p>
            <w:pPr>
              <w:spacing w:after="40"/>
            </w:pPr>
            <w:r/>
            <w:r>
              <w:rPr>
                <w:sz w:val="18"/>
              </w:rPr>
              <w:t>Framework is conceptual; never deployed or measured.</w:t>
            </w:r>
          </w:p>
        </w:tc>
      </w:tr>
      <w:tr>
        <w:tc>
          <w:tcPr>
            <w:tcW w:type="dxa" w:w="648"/>
          </w:tcPr>
          <w:p>
            <w:pPr>
              <w:spacing w:after="40"/>
            </w:pPr>
            <w:r/>
            <w:r>
              <w:rPr>
                <w:sz w:val="18"/>
              </w:rPr>
              <w:t>[3]</w:t>
            </w:r>
          </w:p>
        </w:tc>
        <w:tc>
          <w:tcPr>
            <w:tcW w:type="dxa" w:w="2160"/>
          </w:tcPr>
          <w:p>
            <w:pPr>
              <w:spacing w:after="40"/>
            </w:pPr>
            <w:r/>
            <w:r>
              <w:rPr>
                <w:sz w:val="18"/>
              </w:rPr>
              <w:t>Rahmani et al., FGCS, 2018</w:t>
            </w:r>
          </w:p>
        </w:tc>
        <w:tc>
          <w:tcPr>
            <w:tcW w:type="dxa" w:w="3744"/>
          </w:tcPr>
          <w:p>
            <w:pPr>
              <w:spacing w:after="40"/>
            </w:pPr>
            <w:r/>
            <w:r>
              <w:rPr>
                <w:sz w:val="18"/>
              </w:rPr>
              <w:t>Smart e-health gateway performing local processing, compression and embedded storage at the fog layer.</w:t>
            </w:r>
          </w:p>
        </w:tc>
        <w:tc>
          <w:tcPr>
            <w:tcW w:type="dxa" w:w="3384"/>
          </w:tcPr>
          <w:p>
            <w:pPr>
              <w:spacing w:after="40"/>
            </w:pPr>
            <w:r/>
            <w:r>
              <w:rPr>
                <w:sz w:val="18"/>
              </w:rPr>
              <w:t>Dedicated on-premise hardware; no public-cloud integration or elasticity.</w:t>
            </w:r>
          </w:p>
        </w:tc>
      </w:tr>
    </w:tbl>
    <w:p>
      <w:pPr>
        <w:spacing w:after="80"/>
      </w:pPr>
    </w:p>
    <w:p>
      <w:pPr>
        <w:pStyle w:val="Heading2"/>
        <w:spacing w:before="200" w:after="120"/>
      </w:pPr>
      <w:r>
        <w:t>3.3  Theme B — Edge and fog intelligence</w:t>
      </w:r>
    </w:p>
    <w:tbl>
      <w:tblPr>
        <w:tblStyle w:val="TableGrid"/>
        <w:tblW w:type="auto" w:w="0"/>
        <w:jc w:val="center"/>
        <w:tblLayout w:type="fixed"/>
        <w:tblLook w:firstColumn="1" w:firstRow="1" w:lastColumn="0" w:lastRow="0" w:noHBand="0" w:noVBand="1" w:val="04A0"/>
        <w:tblLayout w:type="fixed"/>
      </w:tblPr>
      <w:tblGrid>
        <w:gridCol w:w="648"/>
        <w:gridCol w:w="2160"/>
        <w:gridCol w:w="3744"/>
        <w:gridCol w:w="3384"/>
      </w:tblGrid>
      <w:tr>
        <w:tc>
          <w:tcPr>
            <w:tcW w:type="dxa" w:w="648"/>
            <w:shd w:val="clear" w:fill="D9E3F0"/>
          </w:tcPr>
          <w:p>
            <w:r/>
            <w:r>
              <w:rPr>
                <w:b/>
                <w:sz w:val="18"/>
              </w:rPr>
              <w:t>Ref</w:t>
            </w:r>
          </w:p>
        </w:tc>
        <w:tc>
          <w:tcPr>
            <w:tcW w:type="dxa" w:w="2160"/>
            <w:shd w:val="clear" w:fill="D9E3F0"/>
          </w:tcPr>
          <w:p>
            <w:r/>
            <w:r>
              <w:rPr>
                <w:b/>
                <w:sz w:val="18"/>
              </w:rPr>
              <w:t>Work</w:t>
            </w:r>
          </w:p>
        </w:tc>
        <w:tc>
          <w:tcPr>
            <w:tcW w:type="dxa" w:w="3744"/>
            <w:shd w:val="clear" w:fill="D9E3F0"/>
          </w:tcPr>
          <w:p>
            <w:r/>
            <w:r>
              <w:rPr>
                <w:b/>
                <w:sz w:val="18"/>
              </w:rPr>
              <w:t>Contribution</w:t>
            </w:r>
          </w:p>
        </w:tc>
        <w:tc>
          <w:tcPr>
            <w:tcW w:type="dxa" w:w="3384"/>
            <w:shd w:val="clear" w:fill="D9E3F0"/>
          </w:tcPr>
          <w:p>
            <w:r/>
            <w:r>
              <w:rPr>
                <w:b/>
                <w:sz w:val="18"/>
              </w:rPr>
              <w:t>Limitation</w:t>
            </w:r>
          </w:p>
        </w:tc>
      </w:tr>
      <w:tr>
        <w:tc>
          <w:tcPr>
            <w:tcW w:type="dxa" w:w="648"/>
          </w:tcPr>
          <w:p>
            <w:pPr>
              <w:spacing w:after="40"/>
            </w:pPr>
            <w:r/>
            <w:r>
              <w:rPr>
                <w:sz w:val="18"/>
              </w:rPr>
              <w:t>[4]</w:t>
            </w:r>
          </w:p>
        </w:tc>
        <w:tc>
          <w:tcPr>
            <w:tcW w:type="dxa" w:w="2160"/>
          </w:tcPr>
          <w:p>
            <w:pPr>
              <w:spacing w:after="40"/>
            </w:pPr>
            <w:r/>
            <w:r>
              <w:rPr>
                <w:sz w:val="18"/>
              </w:rPr>
              <w:t>Shi et al., IEEE IoT Journal, 2016</w:t>
            </w:r>
          </w:p>
        </w:tc>
        <w:tc>
          <w:tcPr>
            <w:tcW w:type="dxa" w:w="3744"/>
          </w:tcPr>
          <w:p>
            <w:pPr>
              <w:spacing w:after="40"/>
            </w:pPr>
            <w:r/>
            <w:r>
              <w:rPr>
                <w:sz w:val="18"/>
              </w:rPr>
              <w:t>Defines the edge-computing paradigm and its latency, bandwidth and privacy motivations.</w:t>
            </w:r>
          </w:p>
        </w:tc>
        <w:tc>
          <w:tcPr>
            <w:tcW w:type="dxa" w:w="3384"/>
          </w:tcPr>
          <w:p>
            <w:pPr>
              <w:spacing w:after="40"/>
            </w:pPr>
            <w:r/>
            <w:r>
              <w:rPr>
                <w:sz w:val="18"/>
              </w:rPr>
              <w:t>Vision paper; no health-specific instantiation.</w:t>
            </w:r>
          </w:p>
        </w:tc>
      </w:tr>
      <w:tr>
        <w:tc>
          <w:tcPr>
            <w:tcW w:type="dxa" w:w="648"/>
          </w:tcPr>
          <w:p>
            <w:pPr>
              <w:spacing w:after="40"/>
            </w:pPr>
            <w:r/>
            <w:r>
              <w:rPr>
                <w:sz w:val="18"/>
              </w:rPr>
              <w:t>[5]</w:t>
            </w:r>
          </w:p>
        </w:tc>
        <w:tc>
          <w:tcPr>
            <w:tcW w:type="dxa" w:w="2160"/>
          </w:tcPr>
          <w:p>
            <w:pPr>
              <w:spacing w:after="40"/>
            </w:pPr>
            <w:r/>
            <w:r>
              <w:rPr>
                <w:sz w:val="18"/>
              </w:rPr>
              <w:t>Satyanarayanan, IEEE Computer, 2017</w:t>
            </w:r>
          </w:p>
        </w:tc>
        <w:tc>
          <w:tcPr>
            <w:tcW w:type="dxa" w:w="3744"/>
          </w:tcPr>
          <w:p>
            <w:pPr>
              <w:spacing w:after="40"/>
            </w:pPr>
            <w:r/>
            <w:r>
              <w:rPr>
                <w:sz w:val="18"/>
              </w:rPr>
              <w:t>Cloudlet model; argues for tiered compute placement.</w:t>
            </w:r>
          </w:p>
        </w:tc>
        <w:tc>
          <w:tcPr>
            <w:tcW w:type="dxa" w:w="3384"/>
          </w:tcPr>
          <w:p>
            <w:pPr>
              <w:spacing w:after="40"/>
            </w:pPr>
            <w:r/>
            <w:r>
              <w:rPr>
                <w:sz w:val="18"/>
              </w:rPr>
              <w:t>Conceptual; no split-inference design.</w:t>
            </w:r>
          </w:p>
        </w:tc>
      </w:tr>
      <w:tr>
        <w:tc>
          <w:tcPr>
            <w:tcW w:type="dxa" w:w="648"/>
          </w:tcPr>
          <w:p>
            <w:pPr>
              <w:spacing w:after="40"/>
            </w:pPr>
            <w:r/>
            <w:r>
              <w:rPr>
                <w:sz w:val="18"/>
              </w:rPr>
              <w:t>[6]</w:t>
            </w:r>
          </w:p>
        </w:tc>
        <w:tc>
          <w:tcPr>
            <w:tcW w:type="dxa" w:w="2160"/>
          </w:tcPr>
          <w:p>
            <w:pPr>
              <w:spacing w:after="40"/>
            </w:pPr>
            <w:r/>
            <w:r>
              <w:rPr>
                <w:sz w:val="18"/>
              </w:rPr>
              <w:t>Kang et al., ASPLOS, 2017 (Neurosurgeon)</w:t>
            </w:r>
          </w:p>
        </w:tc>
        <w:tc>
          <w:tcPr>
            <w:tcW w:type="dxa" w:w="3744"/>
          </w:tcPr>
          <w:p>
            <w:pPr>
              <w:spacing w:after="40"/>
            </w:pPr>
            <w:r/>
            <w:r>
              <w:rPr>
                <w:sz w:val="18"/>
              </w:rPr>
              <w:t>Automatically partitions a DNN between mobile and cloud at the optimal layer.</w:t>
            </w:r>
          </w:p>
        </w:tc>
        <w:tc>
          <w:tcPr>
            <w:tcW w:type="dxa" w:w="3384"/>
          </w:tcPr>
          <w:p>
            <w:pPr>
              <w:spacing w:after="40"/>
            </w:pPr>
            <w:r/>
            <w:r>
              <w:rPr>
                <w:sz w:val="18"/>
              </w:rPr>
              <w:t>Partitions a single network; assumes continuous connectivity; not an anomaly-triggered cascade.</w:t>
            </w:r>
          </w:p>
        </w:tc>
      </w:tr>
      <w:tr>
        <w:tc>
          <w:tcPr>
            <w:tcW w:type="dxa" w:w="648"/>
          </w:tcPr>
          <w:p>
            <w:pPr>
              <w:spacing w:after="40"/>
            </w:pPr>
            <w:r/>
            <w:r>
              <w:rPr>
                <w:sz w:val="18"/>
              </w:rPr>
              <w:t>[7]</w:t>
            </w:r>
          </w:p>
        </w:tc>
        <w:tc>
          <w:tcPr>
            <w:tcW w:type="dxa" w:w="2160"/>
          </w:tcPr>
          <w:p>
            <w:pPr>
              <w:spacing w:after="40"/>
            </w:pPr>
            <w:r/>
            <w:r>
              <w:rPr>
                <w:sz w:val="18"/>
              </w:rPr>
              <w:t>Teerapittayanon et al., ICDCS, 2017 (DDNN)</w:t>
            </w:r>
          </w:p>
        </w:tc>
        <w:tc>
          <w:tcPr>
            <w:tcW w:type="dxa" w:w="3744"/>
          </w:tcPr>
          <w:p>
            <w:pPr>
              <w:spacing w:after="40"/>
            </w:pPr>
            <w:r/>
            <w:r>
              <w:rPr>
                <w:sz w:val="18"/>
              </w:rPr>
              <w:t>Distributed DNN with early-exit branches: easy samples exit at the edge, hard ones escalate.</w:t>
            </w:r>
          </w:p>
        </w:tc>
        <w:tc>
          <w:tcPr>
            <w:tcW w:type="dxa" w:w="3384"/>
          </w:tcPr>
          <w:p>
            <w:pPr>
              <w:spacing w:after="40"/>
            </w:pPr>
            <w:r/>
            <w:r>
              <w:rPr>
                <w:sz w:val="18"/>
              </w:rPr>
              <w:t>Evaluated on vision, not physiological time series; no cost analysis.</w:t>
            </w:r>
          </w:p>
        </w:tc>
      </w:tr>
    </w:tbl>
    <w:p>
      <w:pPr>
        <w:spacing w:after="80"/>
      </w:pPr>
    </w:p>
    <w:p>
      <w:pPr>
        <w:pStyle w:val="Heading2"/>
        <w:spacing w:before="200" w:after="120"/>
      </w:pPr>
      <w:r>
        <w:t>3.4  Theme C — Machine learning for physiological anomaly detection</w:t>
      </w:r>
    </w:p>
    <w:tbl>
      <w:tblPr>
        <w:tblStyle w:val="TableGrid"/>
        <w:tblW w:type="auto" w:w="0"/>
        <w:jc w:val="center"/>
        <w:tblLayout w:type="fixed"/>
        <w:tblLook w:firstColumn="1" w:firstRow="1" w:lastColumn="0" w:lastRow="0" w:noHBand="0" w:noVBand="1" w:val="04A0"/>
        <w:tblLayout w:type="fixed"/>
      </w:tblPr>
      <w:tblGrid>
        <w:gridCol w:w="648"/>
        <w:gridCol w:w="2160"/>
        <w:gridCol w:w="3744"/>
        <w:gridCol w:w="3384"/>
      </w:tblGrid>
      <w:tr>
        <w:tc>
          <w:tcPr>
            <w:tcW w:type="dxa" w:w="648"/>
            <w:shd w:val="clear" w:fill="D9E3F0"/>
          </w:tcPr>
          <w:p>
            <w:r/>
            <w:r>
              <w:rPr>
                <w:b/>
                <w:sz w:val="18"/>
              </w:rPr>
              <w:t>Ref</w:t>
            </w:r>
          </w:p>
        </w:tc>
        <w:tc>
          <w:tcPr>
            <w:tcW w:type="dxa" w:w="2160"/>
            <w:shd w:val="clear" w:fill="D9E3F0"/>
          </w:tcPr>
          <w:p>
            <w:r/>
            <w:r>
              <w:rPr>
                <w:b/>
                <w:sz w:val="18"/>
              </w:rPr>
              <w:t>Work</w:t>
            </w:r>
          </w:p>
        </w:tc>
        <w:tc>
          <w:tcPr>
            <w:tcW w:type="dxa" w:w="3744"/>
            <w:shd w:val="clear" w:fill="D9E3F0"/>
          </w:tcPr>
          <w:p>
            <w:r/>
            <w:r>
              <w:rPr>
                <w:b/>
                <w:sz w:val="18"/>
              </w:rPr>
              <w:t>Contribution</w:t>
            </w:r>
          </w:p>
        </w:tc>
        <w:tc>
          <w:tcPr>
            <w:tcW w:type="dxa" w:w="3384"/>
            <w:shd w:val="clear" w:fill="D9E3F0"/>
          </w:tcPr>
          <w:p>
            <w:r/>
            <w:r>
              <w:rPr>
                <w:b/>
                <w:sz w:val="18"/>
              </w:rPr>
              <w:t>Limitation</w:t>
            </w:r>
          </w:p>
        </w:tc>
      </w:tr>
      <w:tr>
        <w:tc>
          <w:tcPr>
            <w:tcW w:type="dxa" w:w="648"/>
          </w:tcPr>
          <w:p>
            <w:pPr>
              <w:spacing w:after="40"/>
            </w:pPr>
            <w:r/>
            <w:r>
              <w:rPr>
                <w:sz w:val="18"/>
              </w:rPr>
              <w:t>[8]</w:t>
            </w:r>
          </w:p>
        </w:tc>
        <w:tc>
          <w:tcPr>
            <w:tcW w:type="dxa" w:w="2160"/>
          </w:tcPr>
          <w:p>
            <w:pPr>
              <w:spacing w:after="40"/>
            </w:pPr>
            <w:r/>
            <w:r>
              <w:rPr>
                <w:sz w:val="18"/>
              </w:rPr>
              <w:t>Moody &amp; Mark, IEEE EMB Mag., 2001</w:t>
            </w:r>
          </w:p>
        </w:tc>
        <w:tc>
          <w:tcPr>
            <w:tcW w:type="dxa" w:w="3744"/>
          </w:tcPr>
          <w:p>
            <w:pPr>
              <w:spacing w:after="40"/>
            </w:pPr>
            <w:r/>
            <w:r>
              <w:rPr>
                <w:sz w:val="18"/>
              </w:rPr>
              <w:t>The MIT-BIH Arrhythmia Database — the reference annotated ECG corpus.</w:t>
            </w:r>
          </w:p>
        </w:tc>
        <w:tc>
          <w:tcPr>
            <w:tcW w:type="dxa" w:w="3384"/>
          </w:tcPr>
          <w:p>
            <w:pPr>
              <w:spacing w:after="40"/>
            </w:pPr>
            <w:r/>
            <w:r>
              <w:rPr>
                <w:sz w:val="18"/>
              </w:rPr>
              <w:t>Dataset paper; few subjects; clinical rather than wearable recording conditions.</w:t>
            </w:r>
          </w:p>
        </w:tc>
      </w:tr>
      <w:tr>
        <w:tc>
          <w:tcPr>
            <w:tcW w:type="dxa" w:w="648"/>
          </w:tcPr>
          <w:p>
            <w:pPr>
              <w:spacing w:after="40"/>
            </w:pPr>
            <w:r/>
            <w:r>
              <w:rPr>
                <w:sz w:val="18"/>
              </w:rPr>
              <w:t>[9]</w:t>
            </w:r>
          </w:p>
        </w:tc>
        <w:tc>
          <w:tcPr>
            <w:tcW w:type="dxa" w:w="2160"/>
          </w:tcPr>
          <w:p>
            <w:pPr>
              <w:spacing w:after="40"/>
            </w:pPr>
            <w:r/>
            <w:r>
              <w:rPr>
                <w:sz w:val="18"/>
              </w:rPr>
              <w:t>Hannun et al., Nature Medicine, 2019</w:t>
            </w:r>
          </w:p>
        </w:tc>
        <w:tc>
          <w:tcPr>
            <w:tcW w:type="dxa" w:w="3744"/>
          </w:tcPr>
          <w:p>
            <w:pPr>
              <w:spacing w:after="40"/>
            </w:pPr>
            <w:r/>
            <w:r>
              <w:rPr>
                <w:sz w:val="18"/>
              </w:rPr>
              <w:t>34-layer CNN matching cardiologist performance on 12 rhythm classes from single-lead ambulatory ECG.</w:t>
            </w:r>
          </w:p>
        </w:tc>
        <w:tc>
          <w:tcPr>
            <w:tcW w:type="dxa" w:w="3384"/>
          </w:tcPr>
          <w:p>
            <w:pPr>
              <w:spacing w:after="40"/>
            </w:pPr>
            <w:r/>
            <w:r>
              <w:rPr>
                <w:sz w:val="18"/>
              </w:rPr>
              <w:t>Far too large for a Raspberry Pi; inference assumed server-side.</w:t>
            </w:r>
          </w:p>
        </w:tc>
      </w:tr>
      <w:tr>
        <w:tc>
          <w:tcPr>
            <w:tcW w:type="dxa" w:w="648"/>
          </w:tcPr>
          <w:p>
            <w:pPr>
              <w:spacing w:after="40"/>
            </w:pPr>
            <w:r/>
            <w:r>
              <w:rPr>
                <w:sz w:val="18"/>
              </w:rPr>
              <w:t>[10]</w:t>
            </w:r>
          </w:p>
        </w:tc>
        <w:tc>
          <w:tcPr>
            <w:tcW w:type="dxa" w:w="2160"/>
          </w:tcPr>
          <w:p>
            <w:pPr>
              <w:spacing w:after="40"/>
            </w:pPr>
            <w:r/>
            <w:r>
              <w:rPr>
                <w:sz w:val="18"/>
              </w:rPr>
              <w:t>Chauhan &amp; Vig, IEEE DSAA, 2015</w:t>
            </w:r>
          </w:p>
        </w:tc>
        <w:tc>
          <w:tcPr>
            <w:tcW w:type="dxa" w:w="3744"/>
          </w:tcPr>
          <w:p>
            <w:pPr>
              <w:spacing w:after="40"/>
            </w:pPr>
            <w:r/>
            <w:r>
              <w:rPr>
                <w:sz w:val="18"/>
              </w:rPr>
              <w:t>LSTM predictive model; anomalies flagged from the prediction-error distribution — semi-supervised, needing only normal data.</w:t>
            </w:r>
          </w:p>
        </w:tc>
        <w:tc>
          <w:tcPr>
            <w:tcW w:type="dxa" w:w="3384"/>
          </w:tcPr>
          <w:p>
            <w:pPr>
              <w:spacing w:after="40"/>
            </w:pPr>
            <w:r/>
            <w:r>
              <w:rPr>
                <w:sz w:val="18"/>
              </w:rPr>
              <w:t>Recurrent model expensive on-device; no system integration.</w:t>
            </w:r>
          </w:p>
        </w:tc>
      </w:tr>
      <w:tr>
        <w:tc>
          <w:tcPr>
            <w:tcW w:type="dxa" w:w="648"/>
          </w:tcPr>
          <w:p>
            <w:pPr>
              <w:spacing w:after="40"/>
            </w:pPr>
            <w:r/>
            <w:r>
              <w:rPr>
                <w:sz w:val="18"/>
              </w:rPr>
              <w:t>[11]</w:t>
            </w:r>
          </w:p>
        </w:tc>
        <w:tc>
          <w:tcPr>
            <w:tcW w:type="dxa" w:w="2160"/>
          </w:tcPr>
          <w:p>
            <w:pPr>
              <w:spacing w:after="40"/>
            </w:pPr>
            <w:r/>
            <w:r>
              <w:rPr>
                <w:sz w:val="18"/>
              </w:rPr>
              <w:t>Malhotra et al., ICML AD Workshop, 2016</w:t>
            </w:r>
          </w:p>
        </w:tc>
        <w:tc>
          <w:tcPr>
            <w:tcW w:type="dxa" w:w="3744"/>
          </w:tcPr>
          <w:p>
            <w:pPr>
              <w:spacing w:after="40"/>
            </w:pPr>
            <w:r/>
            <w:r>
              <w:rPr>
                <w:sz w:val="18"/>
              </w:rPr>
              <w:t>Reconstruction-error anomaly detection for multivariate sensor streams — the template for our autoencoder.</w:t>
            </w:r>
          </w:p>
        </w:tc>
        <w:tc>
          <w:tcPr>
            <w:tcW w:type="dxa" w:w="3384"/>
          </w:tcPr>
          <w:p>
            <w:pPr>
              <w:spacing w:after="40"/>
            </w:pPr>
            <w:r/>
            <w:r>
              <w:rPr>
                <w:sz w:val="18"/>
              </w:rPr>
              <w:t>Not quantised or deployed; offline evaluation only.</w:t>
            </w:r>
          </w:p>
        </w:tc>
      </w:tr>
      <w:tr>
        <w:tc>
          <w:tcPr>
            <w:tcW w:type="dxa" w:w="648"/>
          </w:tcPr>
          <w:p>
            <w:pPr>
              <w:spacing w:after="40"/>
            </w:pPr>
            <w:r/>
            <w:r>
              <w:rPr>
                <w:sz w:val="18"/>
              </w:rPr>
              <w:t>[12]</w:t>
            </w:r>
          </w:p>
        </w:tc>
        <w:tc>
          <w:tcPr>
            <w:tcW w:type="dxa" w:w="2160"/>
          </w:tcPr>
          <w:p>
            <w:pPr>
              <w:spacing w:after="40"/>
            </w:pPr>
            <w:r/>
            <w:r>
              <w:rPr>
                <w:sz w:val="18"/>
              </w:rPr>
              <w:t>Kiranyaz et al., IEEE TBME, 2016</w:t>
            </w:r>
          </w:p>
        </w:tc>
        <w:tc>
          <w:tcPr>
            <w:tcW w:type="dxa" w:w="3744"/>
          </w:tcPr>
          <w:p>
            <w:pPr>
              <w:spacing w:after="40"/>
            </w:pPr>
            <w:r/>
            <w:r>
              <w:rPr>
                <w:sz w:val="18"/>
              </w:rPr>
              <w:t>Compact 1-D CNN for real-time, patient-specific ECG classification.</w:t>
            </w:r>
          </w:p>
        </w:tc>
        <w:tc>
          <w:tcPr>
            <w:tcW w:type="dxa" w:w="3384"/>
          </w:tcPr>
          <w:p>
            <w:pPr>
              <w:spacing w:after="40"/>
            </w:pPr>
            <w:r/>
            <w:r>
              <w:rPr>
                <w:sz w:val="18"/>
              </w:rPr>
              <w:t>Requires per-patient labelled data; no cloud tier.</w:t>
            </w:r>
          </w:p>
        </w:tc>
      </w:tr>
    </w:tbl>
    <w:p>
      <w:pPr>
        <w:spacing w:after="80"/>
      </w:pPr>
    </w:p>
    <w:p>
      <w:pPr>
        <w:pStyle w:val="Heading2"/>
        <w:spacing w:before="200" w:after="120"/>
      </w:pPr>
      <w:r>
        <w:t>3.5  Theme D — Serverless and cost-efficient cloud backends</w:t>
      </w:r>
    </w:p>
    <w:tbl>
      <w:tblPr>
        <w:tblStyle w:val="TableGrid"/>
        <w:tblW w:type="auto" w:w="0"/>
        <w:jc w:val="center"/>
        <w:tblLayout w:type="fixed"/>
        <w:tblLook w:firstColumn="1" w:firstRow="1" w:lastColumn="0" w:lastRow="0" w:noHBand="0" w:noVBand="1" w:val="04A0"/>
        <w:tblLayout w:type="fixed"/>
      </w:tblPr>
      <w:tblGrid>
        <w:gridCol w:w="648"/>
        <w:gridCol w:w="2160"/>
        <w:gridCol w:w="3744"/>
        <w:gridCol w:w="3384"/>
      </w:tblGrid>
      <w:tr>
        <w:tc>
          <w:tcPr>
            <w:tcW w:type="dxa" w:w="648"/>
            <w:shd w:val="clear" w:fill="D9E3F0"/>
          </w:tcPr>
          <w:p>
            <w:r/>
            <w:r>
              <w:rPr>
                <w:b/>
                <w:sz w:val="18"/>
              </w:rPr>
              <w:t>Ref</w:t>
            </w:r>
          </w:p>
        </w:tc>
        <w:tc>
          <w:tcPr>
            <w:tcW w:type="dxa" w:w="2160"/>
            <w:shd w:val="clear" w:fill="D9E3F0"/>
          </w:tcPr>
          <w:p>
            <w:r/>
            <w:r>
              <w:rPr>
                <w:b/>
                <w:sz w:val="18"/>
              </w:rPr>
              <w:t>Work</w:t>
            </w:r>
          </w:p>
        </w:tc>
        <w:tc>
          <w:tcPr>
            <w:tcW w:type="dxa" w:w="3744"/>
            <w:shd w:val="clear" w:fill="D9E3F0"/>
          </w:tcPr>
          <w:p>
            <w:r/>
            <w:r>
              <w:rPr>
                <w:b/>
                <w:sz w:val="18"/>
              </w:rPr>
              <w:t>Contribution</w:t>
            </w:r>
          </w:p>
        </w:tc>
        <w:tc>
          <w:tcPr>
            <w:tcW w:type="dxa" w:w="3384"/>
            <w:shd w:val="clear" w:fill="D9E3F0"/>
          </w:tcPr>
          <w:p>
            <w:r/>
            <w:r>
              <w:rPr>
                <w:b/>
                <w:sz w:val="18"/>
              </w:rPr>
              <w:t>Limitation</w:t>
            </w:r>
          </w:p>
        </w:tc>
      </w:tr>
      <w:tr>
        <w:tc>
          <w:tcPr>
            <w:tcW w:type="dxa" w:w="648"/>
          </w:tcPr>
          <w:p>
            <w:pPr>
              <w:spacing w:after="40"/>
            </w:pPr>
            <w:r/>
            <w:r>
              <w:rPr>
                <w:sz w:val="18"/>
              </w:rPr>
              <w:t>[13]</w:t>
            </w:r>
          </w:p>
        </w:tc>
        <w:tc>
          <w:tcPr>
            <w:tcW w:type="dxa" w:w="2160"/>
          </w:tcPr>
          <w:p>
            <w:pPr>
              <w:spacing w:after="40"/>
            </w:pPr>
            <w:r/>
            <w:r>
              <w:rPr>
                <w:sz w:val="18"/>
              </w:rPr>
              <w:t>Jonas et al., Berkeley View, 2019</w:t>
            </w:r>
          </w:p>
        </w:tc>
        <w:tc>
          <w:tcPr>
            <w:tcW w:type="dxa" w:w="3744"/>
          </w:tcPr>
          <w:p>
            <w:pPr>
              <w:spacing w:after="40"/>
            </w:pPr>
            <w:r/>
            <w:r>
              <w:rPr>
                <w:sz w:val="18"/>
              </w:rPr>
              <w:t>Defines serverless computing, its economics and its limitations (state, cold starts, data locality).</w:t>
            </w:r>
          </w:p>
        </w:tc>
        <w:tc>
          <w:tcPr>
            <w:tcW w:type="dxa" w:w="3384"/>
          </w:tcPr>
          <w:p>
            <w:pPr>
              <w:spacing w:after="40"/>
            </w:pPr>
            <w:r/>
            <w:r>
              <w:rPr>
                <w:sz w:val="18"/>
              </w:rPr>
              <w:t>General-purpose; no IoT or health case study.</w:t>
            </w:r>
          </w:p>
        </w:tc>
      </w:tr>
      <w:tr>
        <w:tc>
          <w:tcPr>
            <w:tcW w:type="dxa" w:w="648"/>
          </w:tcPr>
          <w:p>
            <w:pPr>
              <w:spacing w:after="40"/>
            </w:pPr>
            <w:r/>
            <w:r>
              <w:rPr>
                <w:sz w:val="18"/>
              </w:rPr>
              <w:t>[14]</w:t>
            </w:r>
          </w:p>
        </w:tc>
        <w:tc>
          <w:tcPr>
            <w:tcW w:type="dxa" w:w="2160"/>
          </w:tcPr>
          <w:p>
            <w:pPr>
              <w:spacing w:after="40"/>
            </w:pPr>
            <w:r/>
            <w:r>
              <w:rPr>
                <w:sz w:val="18"/>
              </w:rPr>
              <w:t>Baldini et al., 2017</w:t>
            </w:r>
          </w:p>
        </w:tc>
        <w:tc>
          <w:tcPr>
            <w:tcW w:type="dxa" w:w="3744"/>
          </w:tcPr>
          <w:p>
            <w:pPr>
              <w:spacing w:after="40"/>
            </w:pPr>
            <w:r/>
            <w:r>
              <w:rPr>
                <w:sz w:val="18"/>
              </w:rPr>
              <w:t>Survey of FaaS platforms and design patterns.</w:t>
            </w:r>
          </w:p>
        </w:tc>
        <w:tc>
          <w:tcPr>
            <w:tcW w:type="dxa" w:w="3384"/>
          </w:tcPr>
          <w:p>
            <w:pPr>
              <w:spacing w:after="40"/>
            </w:pPr>
            <w:r/>
            <w:r>
              <w:rPr>
                <w:sz w:val="18"/>
              </w:rPr>
              <w:t>Predates most managed IoT-to-FaaS integrations.</w:t>
            </w:r>
          </w:p>
        </w:tc>
      </w:tr>
      <w:tr>
        <w:tc>
          <w:tcPr>
            <w:tcW w:type="dxa" w:w="648"/>
          </w:tcPr>
          <w:p>
            <w:pPr>
              <w:spacing w:after="40"/>
            </w:pPr>
            <w:r/>
            <w:r>
              <w:rPr>
                <w:sz w:val="18"/>
              </w:rPr>
              <w:t>[15]</w:t>
            </w:r>
          </w:p>
        </w:tc>
        <w:tc>
          <w:tcPr>
            <w:tcW w:type="dxa" w:w="2160"/>
          </w:tcPr>
          <w:p>
            <w:pPr>
              <w:spacing w:after="40"/>
            </w:pPr>
            <w:r/>
            <w:r>
              <w:rPr>
                <w:sz w:val="18"/>
              </w:rPr>
              <w:t>Aslanpour et al., ACSW, 2021</w:t>
            </w:r>
          </w:p>
        </w:tc>
        <w:tc>
          <w:tcPr>
            <w:tcW w:type="dxa" w:w="3744"/>
          </w:tcPr>
          <w:p>
            <w:pPr>
              <w:spacing w:after="40"/>
            </w:pPr>
            <w:r/>
            <w:r>
              <w:rPr>
                <w:sz w:val="18"/>
              </w:rPr>
              <w:t>Argues for FaaS abstractions spanning edge and cloud.</w:t>
            </w:r>
          </w:p>
        </w:tc>
        <w:tc>
          <w:tcPr>
            <w:tcW w:type="dxa" w:w="3384"/>
          </w:tcPr>
          <w:p>
            <w:pPr>
              <w:spacing w:after="40"/>
            </w:pPr>
            <w:r/>
            <w:r>
              <w:rPr>
                <w:sz w:val="18"/>
              </w:rPr>
              <w:t>Vision-level; no concrete healthcare pipeline with measured cost.</w:t>
            </w:r>
          </w:p>
        </w:tc>
      </w:tr>
    </w:tbl>
    <w:p>
      <w:pPr>
        <w:spacing w:after="80"/>
      </w:pPr>
    </w:p>
    <w:p>
      <w:pPr>
        <w:pStyle w:val="Heading2"/>
        <w:spacing w:before="200" w:after="120"/>
      </w:pPr>
      <w:r>
        <w:t>3.6  Comparative summary</w:t>
      </w:r>
    </w:p>
    <w:tbl>
      <w:tblPr>
        <w:tblStyle w:val="TableGrid"/>
        <w:tblW w:type="auto" w:w="0"/>
        <w:jc w:val="center"/>
        <w:tblLayout w:type="fixed"/>
        <w:tblLook w:firstColumn="1" w:firstRow="1" w:lastColumn="0" w:lastRow="0" w:noHBand="0" w:noVBand="1" w:val="04A0"/>
        <w:tblLayout w:type="fixed"/>
      </w:tblPr>
      <w:tblGrid>
        <w:gridCol w:w="2088"/>
        <w:gridCol w:w="1872"/>
        <w:gridCol w:w="1872"/>
        <w:gridCol w:w="1800"/>
        <w:gridCol w:w="2304"/>
      </w:tblGrid>
      <w:tr>
        <w:tc>
          <w:tcPr>
            <w:tcW w:type="dxa" w:w="2088"/>
            <w:shd w:val="clear" w:fill="D9E3F0"/>
          </w:tcPr>
          <w:p>
            <w:r/>
            <w:r>
              <w:rPr>
                <w:b/>
                <w:sz w:val="17"/>
              </w:rPr>
              <w:t>Aspect</w:t>
            </w:r>
          </w:p>
        </w:tc>
        <w:tc>
          <w:tcPr>
            <w:tcW w:type="dxa" w:w="1872"/>
            <w:shd w:val="clear" w:fill="D9E3F0"/>
          </w:tcPr>
          <w:p>
            <w:r/>
            <w:r>
              <w:rPr>
                <w:b/>
                <w:sz w:val="17"/>
              </w:rPr>
              <w:t>Cloud-only [1–3]</w:t>
            </w:r>
          </w:p>
        </w:tc>
        <w:tc>
          <w:tcPr>
            <w:tcW w:type="dxa" w:w="1872"/>
            <w:shd w:val="clear" w:fill="D9E3F0"/>
          </w:tcPr>
          <w:p>
            <w:r/>
            <w:r>
              <w:rPr>
                <w:b/>
                <w:sz w:val="17"/>
              </w:rPr>
              <w:t>Edge/fog [3–7]</w:t>
            </w:r>
          </w:p>
        </w:tc>
        <w:tc>
          <w:tcPr>
            <w:tcW w:type="dxa" w:w="1800"/>
            <w:shd w:val="clear" w:fill="D9E3F0"/>
          </w:tcPr>
          <w:p>
            <w:r/>
            <w:r>
              <w:rPr>
                <w:b/>
                <w:sz w:val="17"/>
              </w:rPr>
              <w:t>Deep ECG [8–12]</w:t>
            </w:r>
          </w:p>
        </w:tc>
        <w:tc>
          <w:tcPr>
            <w:tcW w:type="dxa" w:w="2304"/>
            <w:shd w:val="clear" w:fill="D9E3F0"/>
          </w:tcPr>
          <w:p>
            <w:r/>
            <w:r>
              <w:rPr>
                <w:b/>
                <w:sz w:val="17"/>
              </w:rPr>
              <w:t>This project</w:t>
            </w:r>
          </w:p>
        </w:tc>
      </w:tr>
      <w:tr>
        <w:tc>
          <w:tcPr>
            <w:tcW w:type="dxa" w:w="2088"/>
          </w:tcPr>
          <w:p>
            <w:pPr>
              <w:spacing w:after="40"/>
            </w:pPr>
            <w:r/>
            <w:r>
              <w:rPr>
                <w:sz w:val="17"/>
              </w:rPr>
              <w:t>Where inference runs</w:t>
            </w:r>
          </w:p>
        </w:tc>
        <w:tc>
          <w:tcPr>
            <w:tcW w:type="dxa" w:w="1872"/>
          </w:tcPr>
          <w:p>
            <w:pPr>
              <w:spacing w:after="40"/>
            </w:pPr>
            <w:r/>
            <w:r>
              <w:rPr>
                <w:sz w:val="17"/>
              </w:rPr>
              <w:t>Cloud</w:t>
            </w:r>
          </w:p>
        </w:tc>
        <w:tc>
          <w:tcPr>
            <w:tcW w:type="dxa" w:w="1872"/>
          </w:tcPr>
          <w:p>
            <w:pPr>
              <w:spacing w:after="40"/>
            </w:pPr>
            <w:r/>
            <w:r>
              <w:rPr>
                <w:sz w:val="17"/>
              </w:rPr>
              <w:t>Edge only</w:t>
            </w:r>
          </w:p>
        </w:tc>
        <w:tc>
          <w:tcPr>
            <w:tcW w:type="dxa" w:w="1800"/>
          </w:tcPr>
          <w:p>
            <w:pPr>
              <w:spacing w:after="40"/>
            </w:pPr>
            <w:r/>
            <w:r>
              <w:rPr>
                <w:sz w:val="17"/>
              </w:rPr>
              <w:t>Offline / server</w:t>
            </w:r>
          </w:p>
        </w:tc>
        <w:tc>
          <w:tcPr>
            <w:tcW w:type="dxa" w:w="2304"/>
          </w:tcPr>
          <w:p>
            <w:pPr>
              <w:spacing w:after="40"/>
            </w:pPr>
            <w:r/>
            <w:r>
              <w:rPr>
                <w:sz w:val="17"/>
              </w:rPr>
              <w:t>Edge screen + cloud confirm</w:t>
            </w:r>
          </w:p>
        </w:tc>
      </w:tr>
      <w:tr>
        <w:tc>
          <w:tcPr>
            <w:tcW w:type="dxa" w:w="2088"/>
          </w:tcPr>
          <w:p>
            <w:pPr>
              <w:spacing w:after="40"/>
            </w:pPr>
            <w:r/>
            <w:r>
              <w:rPr>
                <w:sz w:val="17"/>
              </w:rPr>
              <w:t>Uplink volume</w:t>
            </w:r>
          </w:p>
        </w:tc>
        <w:tc>
          <w:tcPr>
            <w:tcW w:type="dxa" w:w="1872"/>
          </w:tcPr>
          <w:p>
            <w:pPr>
              <w:spacing w:after="40"/>
            </w:pPr>
            <w:r/>
            <w:r>
              <w:rPr>
                <w:sz w:val="17"/>
              </w:rPr>
              <w:t>Full raw stream</w:t>
            </w:r>
          </w:p>
        </w:tc>
        <w:tc>
          <w:tcPr>
            <w:tcW w:type="dxa" w:w="1872"/>
          </w:tcPr>
          <w:p>
            <w:pPr>
              <w:spacing w:after="40"/>
            </w:pPr>
            <w:r/>
            <w:r>
              <w:rPr>
                <w:sz w:val="17"/>
              </w:rPr>
              <w:t>Reduced, fixed policy</w:t>
            </w:r>
          </w:p>
        </w:tc>
        <w:tc>
          <w:tcPr>
            <w:tcW w:type="dxa" w:w="1800"/>
          </w:tcPr>
          <w:p>
            <w:pPr>
              <w:spacing w:after="40"/>
            </w:pPr>
            <w:r/>
            <w:r>
              <w:rPr>
                <w:sz w:val="17"/>
              </w:rPr>
              <w:t>Not applicable</w:t>
            </w:r>
          </w:p>
        </w:tc>
        <w:tc>
          <w:tcPr>
            <w:tcW w:type="dxa" w:w="2304"/>
          </w:tcPr>
          <w:p>
            <w:pPr>
              <w:spacing w:after="40"/>
            </w:pPr>
            <w:r/>
            <w:r>
              <w:rPr>
                <w:sz w:val="17"/>
              </w:rPr>
              <w:t>Adaptive, anomaly-triggered</w:t>
            </w:r>
          </w:p>
        </w:tc>
      </w:tr>
      <w:tr>
        <w:tc>
          <w:tcPr>
            <w:tcW w:type="dxa" w:w="2088"/>
          </w:tcPr>
          <w:p>
            <w:pPr>
              <w:spacing w:after="40"/>
            </w:pPr>
            <w:r/>
            <w:r>
              <w:rPr>
                <w:sz w:val="17"/>
              </w:rPr>
              <w:t>Model size constraint</w:t>
            </w:r>
          </w:p>
        </w:tc>
        <w:tc>
          <w:tcPr>
            <w:tcW w:type="dxa" w:w="1872"/>
          </w:tcPr>
          <w:p>
            <w:pPr>
              <w:spacing w:after="40"/>
            </w:pPr>
            <w:r/>
            <w:r>
              <w:rPr>
                <w:sz w:val="17"/>
              </w:rPr>
              <w:t>None</w:t>
            </w:r>
          </w:p>
        </w:tc>
        <w:tc>
          <w:tcPr>
            <w:tcW w:type="dxa" w:w="1872"/>
          </w:tcPr>
          <w:p>
            <w:pPr>
              <w:spacing w:after="40"/>
            </w:pPr>
            <w:r/>
            <w:r>
              <w:rPr>
                <w:sz w:val="17"/>
              </w:rPr>
              <w:t>Considered</w:t>
            </w:r>
          </w:p>
        </w:tc>
        <w:tc>
          <w:tcPr>
            <w:tcW w:type="dxa" w:w="1800"/>
          </w:tcPr>
          <w:p>
            <w:pPr>
              <w:spacing w:after="40"/>
            </w:pPr>
            <w:r/>
            <w:r>
              <w:rPr>
                <w:sz w:val="17"/>
              </w:rPr>
              <w:t>Ignored</w:t>
            </w:r>
          </w:p>
        </w:tc>
        <w:tc>
          <w:tcPr>
            <w:tcW w:type="dxa" w:w="2304"/>
          </w:tcPr>
          <w:p>
            <w:pPr>
              <w:spacing w:after="40"/>
            </w:pPr>
            <w:r/>
            <w:r>
              <w:rPr>
                <w:sz w:val="17"/>
              </w:rPr>
              <w:t>INT8 TFLite &lt; 500 KB, measured</w:t>
            </w:r>
          </w:p>
        </w:tc>
      </w:tr>
      <w:tr>
        <w:tc>
          <w:tcPr>
            <w:tcW w:type="dxa" w:w="2088"/>
          </w:tcPr>
          <w:p>
            <w:pPr>
              <w:spacing w:after="40"/>
            </w:pPr>
            <w:r/>
            <w:r>
              <w:rPr>
                <w:sz w:val="17"/>
              </w:rPr>
              <w:t>Backend model</w:t>
            </w:r>
          </w:p>
        </w:tc>
        <w:tc>
          <w:tcPr>
            <w:tcW w:type="dxa" w:w="1872"/>
          </w:tcPr>
          <w:p>
            <w:pPr>
              <w:spacing w:after="40"/>
            </w:pPr>
            <w:r/>
            <w:r>
              <w:rPr>
                <w:sz w:val="17"/>
              </w:rPr>
              <w:t>VMs / containers</w:t>
            </w:r>
          </w:p>
        </w:tc>
        <w:tc>
          <w:tcPr>
            <w:tcW w:type="dxa" w:w="1872"/>
          </w:tcPr>
          <w:p>
            <w:pPr>
              <w:spacing w:after="40"/>
            </w:pPr>
            <w:r/>
            <w:r>
              <w:rPr>
                <w:sz w:val="17"/>
              </w:rPr>
              <w:t>On-prem gateway</w:t>
            </w:r>
          </w:p>
        </w:tc>
        <w:tc>
          <w:tcPr>
            <w:tcW w:type="dxa" w:w="1800"/>
          </w:tcPr>
          <w:p>
            <w:pPr>
              <w:spacing w:after="40"/>
            </w:pPr>
            <w:r/>
            <w:r>
              <w:rPr>
                <w:sz w:val="17"/>
              </w:rPr>
              <w:t>Not applicable</w:t>
            </w:r>
          </w:p>
        </w:tc>
        <w:tc>
          <w:tcPr>
            <w:tcW w:type="dxa" w:w="2304"/>
          </w:tcPr>
          <w:p>
            <w:pPr>
              <w:spacing w:after="40"/>
            </w:pPr>
            <w:r/>
            <w:r>
              <w:rPr>
                <w:sz w:val="17"/>
              </w:rPr>
              <w:t>Fully serverless (FaaS)</w:t>
            </w:r>
          </w:p>
        </w:tc>
      </w:tr>
      <w:tr>
        <w:tc>
          <w:tcPr>
            <w:tcW w:type="dxa" w:w="2088"/>
          </w:tcPr>
          <w:p>
            <w:pPr>
              <w:spacing w:after="40"/>
            </w:pPr>
            <w:r/>
            <w:r>
              <w:rPr>
                <w:sz w:val="17"/>
              </w:rPr>
              <w:t>Deployment cost reported</w:t>
            </w:r>
          </w:p>
        </w:tc>
        <w:tc>
          <w:tcPr>
            <w:tcW w:type="dxa" w:w="1872"/>
          </w:tcPr>
          <w:p>
            <w:pPr>
              <w:spacing w:after="40"/>
            </w:pPr>
            <w:r/>
            <w:r>
              <w:rPr>
                <w:sz w:val="17"/>
              </w:rPr>
              <w:t>Rarely</w:t>
            </w:r>
          </w:p>
        </w:tc>
        <w:tc>
          <w:tcPr>
            <w:tcW w:type="dxa" w:w="1872"/>
          </w:tcPr>
          <w:p>
            <w:pPr>
              <w:spacing w:after="40"/>
            </w:pPr>
            <w:r/>
            <w:r>
              <w:rPr>
                <w:sz w:val="17"/>
              </w:rPr>
              <w:t>Rarely</w:t>
            </w:r>
          </w:p>
        </w:tc>
        <w:tc>
          <w:tcPr>
            <w:tcW w:type="dxa" w:w="1800"/>
          </w:tcPr>
          <w:p>
            <w:pPr>
              <w:spacing w:after="40"/>
            </w:pPr>
            <w:r/>
            <w:r>
              <w:rPr>
                <w:sz w:val="17"/>
              </w:rPr>
              <w:t>Never</w:t>
            </w:r>
          </w:p>
        </w:tc>
        <w:tc>
          <w:tcPr>
            <w:tcW w:type="dxa" w:w="2304"/>
          </w:tcPr>
          <w:p>
            <w:pPr>
              <w:spacing w:after="40"/>
            </w:pPr>
            <w:r/>
            <w:r>
              <w:rPr>
                <w:sz w:val="17"/>
              </w:rPr>
              <w:t>Free Tier budget + projection</w:t>
            </w:r>
          </w:p>
        </w:tc>
      </w:tr>
      <w:tr>
        <w:tc>
          <w:tcPr>
            <w:tcW w:type="dxa" w:w="2088"/>
          </w:tcPr>
          <w:p>
            <w:pPr>
              <w:spacing w:after="40"/>
            </w:pPr>
            <w:r/>
            <w:r>
              <w:rPr>
                <w:sz w:val="17"/>
              </w:rPr>
              <w:t>Reproducible IaC</w:t>
            </w:r>
          </w:p>
        </w:tc>
        <w:tc>
          <w:tcPr>
            <w:tcW w:type="dxa" w:w="1872"/>
          </w:tcPr>
          <w:p>
            <w:pPr>
              <w:spacing w:after="40"/>
            </w:pPr>
            <w:r/>
            <w:r>
              <w:rPr>
                <w:sz w:val="17"/>
              </w:rPr>
              <w:t>No</w:t>
            </w:r>
          </w:p>
        </w:tc>
        <w:tc>
          <w:tcPr>
            <w:tcW w:type="dxa" w:w="1872"/>
          </w:tcPr>
          <w:p>
            <w:pPr>
              <w:spacing w:after="40"/>
            </w:pPr>
            <w:r/>
            <w:r>
              <w:rPr>
                <w:sz w:val="17"/>
              </w:rPr>
              <w:t>No</w:t>
            </w:r>
          </w:p>
        </w:tc>
        <w:tc>
          <w:tcPr>
            <w:tcW w:type="dxa" w:w="1800"/>
          </w:tcPr>
          <w:p>
            <w:pPr>
              <w:spacing w:after="40"/>
            </w:pPr>
            <w:r/>
            <w:r>
              <w:rPr>
                <w:sz w:val="17"/>
              </w:rPr>
              <w:t>No</w:t>
            </w:r>
          </w:p>
        </w:tc>
        <w:tc>
          <w:tcPr>
            <w:tcW w:type="dxa" w:w="2304"/>
          </w:tcPr>
          <w:p>
            <w:pPr>
              <w:spacing w:after="40"/>
            </w:pPr>
            <w:r/>
            <w:r>
              <w:rPr>
                <w:sz w:val="17"/>
              </w:rPr>
              <w:t>Yes — one-command deploy</w:t>
            </w:r>
          </w:p>
        </w:tc>
      </w:tr>
      <w:tr>
        <w:tc>
          <w:tcPr>
            <w:tcW w:type="dxa" w:w="2088"/>
          </w:tcPr>
          <w:p>
            <w:pPr>
              <w:spacing w:after="40"/>
            </w:pPr>
            <w:r/>
            <w:r>
              <w:rPr>
                <w:sz w:val="17"/>
              </w:rPr>
              <w:t>End-to-end latency measured</w:t>
            </w:r>
          </w:p>
        </w:tc>
        <w:tc>
          <w:tcPr>
            <w:tcW w:type="dxa" w:w="1872"/>
          </w:tcPr>
          <w:p>
            <w:pPr>
              <w:spacing w:after="40"/>
            </w:pPr>
            <w:r/>
            <w:r>
              <w:rPr>
                <w:sz w:val="17"/>
              </w:rPr>
              <w:t>Sometimes</w:t>
            </w:r>
          </w:p>
        </w:tc>
        <w:tc>
          <w:tcPr>
            <w:tcW w:type="dxa" w:w="1872"/>
          </w:tcPr>
          <w:p>
            <w:pPr>
              <w:spacing w:after="40"/>
            </w:pPr>
            <w:r/>
            <w:r>
              <w:rPr>
                <w:sz w:val="17"/>
              </w:rPr>
              <w:t>Sometimes</w:t>
            </w:r>
          </w:p>
        </w:tc>
        <w:tc>
          <w:tcPr>
            <w:tcW w:type="dxa" w:w="1800"/>
          </w:tcPr>
          <w:p>
            <w:pPr>
              <w:spacing w:after="40"/>
            </w:pPr>
            <w:r/>
            <w:r>
              <w:rPr>
                <w:sz w:val="17"/>
              </w:rPr>
              <w:t>No</w:t>
            </w:r>
          </w:p>
        </w:tc>
        <w:tc>
          <w:tcPr>
            <w:tcW w:type="dxa" w:w="2304"/>
          </w:tcPr>
          <w:p>
            <w:pPr>
              <w:spacing w:after="40"/>
            </w:pPr>
            <w:r/>
            <w:r>
              <w:rPr>
                <w:sz w:val="17"/>
              </w:rPr>
              <w:t>Yes, p95 target &lt; 5 s</w:t>
            </w:r>
          </w:p>
        </w:tc>
      </w:tr>
    </w:tbl>
    <w:p>
      <w:pPr>
        <w:spacing w:after="80"/>
      </w:pPr>
    </w:p>
    <w:p>
      <w:r>
        <w:br w:type="page"/>
      </w:r>
    </w:p>
    <w:p>
      <w:pPr>
        <w:pStyle w:val="Heading1"/>
        <w:spacing w:before="280" w:after="120"/>
      </w:pPr>
      <w:r>
        <w:t>4.  Research Gap Analysis</w:t>
      </w:r>
    </w:p>
    <w:p>
      <w:pPr>
        <w:pStyle w:val="Heading2"/>
        <w:spacing w:before="200" w:after="120"/>
      </w:pPr>
      <w:r>
        <w:t>4.1  Identified gaps</w:t>
      </w:r>
    </w:p>
    <w:p>
      <w:pPr>
        <w:pStyle w:val="Heading3"/>
        <w:spacing w:before="200" w:after="120"/>
      </w:pPr>
      <w:r>
        <w:t>Gap 1 — Cascaded inference is unvalidated for physiological streams</w:t>
      </w:r>
    </w:p>
    <w:p>
      <w:pPr>
        <w:spacing w:after="120"/>
      </w:pPr>
      <w:r>
        <w:rPr>
          <w:b w:val="0"/>
          <w:i w:val="0"/>
        </w:rPr>
        <w:t>Early-exit and model-partitioning schemes [6][7] are demonstrated on image classification, where a sample is a discrete, independent input. Physiological data is a continuous, non-stationary, subject-specific stream in which the events of interest are rare (class imbalance frequently exceeds 100:1) and context-dependent — a heart rate of 160 bpm is normal while running and alarming at rest. No reviewed work evaluates an edge-screen to cloud-confirm cascade on wearable vital signs with an explicit false-negative budget.</w:t>
      </w:r>
    </w:p>
    <w:p>
      <w:pPr>
        <w:pStyle w:val="Heading3"/>
        <w:spacing w:before="200" w:after="120"/>
      </w:pPr>
      <w:r>
        <w:t>Gap 2 — Bandwidth and energy savings are asserted rather than measured</w:t>
      </w:r>
    </w:p>
    <w:p>
      <w:pPr>
        <w:spacing w:after="120"/>
      </w:pPr>
      <w:r>
        <w:rPr>
          <w:b w:val="0"/>
          <w:i w:val="0"/>
        </w:rPr>
        <w:t>Fog-computing healthcare papers [3] claim reduced transmission but rarely publish a byte-level comparison against a stream-everything baseline under identical signal conditions, and almost never relate it to a monetary or quota cost.</w:t>
      </w:r>
    </w:p>
    <w:p>
      <w:pPr>
        <w:pStyle w:val="Heading3"/>
        <w:spacing w:before="200" w:after="120"/>
      </w:pPr>
      <w:r>
        <w:t>Gap 3 — Deep ECG models exist in isolation from deployable systems</w:t>
      </w:r>
    </w:p>
    <w:p>
      <w:pPr>
        <w:spacing w:after="120"/>
      </w:pPr>
      <w:r>
        <w:rPr>
          <w:b w:val="0"/>
          <w:i w:val="0"/>
        </w:rPr>
        <w:t>State-of-the-art ECG models [9] are large — tens of megabytes, millions of parameters — and are evaluated offline on curated datasets. The literature does not carry them through quantisation, latency measurement on real edge hardware, and integration into a production data path.</w:t>
      </w:r>
    </w:p>
    <w:p>
      <w:pPr>
        <w:pStyle w:val="Heading3"/>
        <w:spacing w:before="200" w:after="120"/>
      </w:pPr>
      <w:r>
        <w:t>Gap 4 — Health-IoT backends are rarely serverless, and cost is rarely reported</w:t>
      </w:r>
    </w:p>
    <w:p>
      <w:pPr>
        <w:spacing w:after="120"/>
      </w:pPr>
      <w:r>
        <w:rPr>
          <w:b w:val="0"/>
          <w:i w:val="0"/>
        </w:rPr>
        <w:t>Reviewed systems use virtual machines, containers or on-premise gateways. The serverless literature [13][14] analyses economics generically but not for a continuous-telemetry health workload. We found no health-IoT paper publishing an actual monthly bill or a per-device cost model.</w:t>
      </w:r>
    </w:p>
    <w:p>
      <w:pPr>
        <w:pStyle w:val="Heading3"/>
        <w:spacing w:before="200" w:after="120"/>
      </w:pPr>
      <w:r>
        <w:t>Gap 5 — Reproducibility</w:t>
      </w:r>
    </w:p>
    <w:p>
      <w:pPr>
        <w:spacing w:after="120"/>
      </w:pPr>
      <w:r>
        <w:rPr>
          <w:b w:val="0"/>
          <w:i w:val="0"/>
        </w:rPr>
        <w:t>Architectures in this space are published as block diagrams. Almost none ship infrastructure-as-code, so a reader cannot re-create the reported results.</w:t>
      </w:r>
    </w:p>
    <w:p>
      <w:pPr>
        <w:pStyle w:val="Heading3"/>
        <w:spacing w:before="200" w:after="120"/>
      </w:pPr>
      <w:r>
        <w:t>Gap 6 — Resilience of the edge link is under-treated</w:t>
      </w:r>
    </w:p>
    <w:p>
      <w:pPr>
        <w:spacing w:after="120"/>
      </w:pPr>
      <w:r>
        <w:rPr>
          <w:b w:val="0"/>
          <w:i w:val="0"/>
        </w:rPr>
        <w:t>Wearable gateways operate on intermittent connectivity, yet evaluations assume a stable uplink and data loss during disconnection is seldom quantified.</w:t>
      </w:r>
    </w:p>
    <w:p>
      <w:pPr>
        <w:pStyle w:val="Heading2"/>
        <w:spacing w:before="200" w:after="120"/>
      </w:pPr>
      <w:r>
        <w:t>4.2  Gap-to-contribution matrix</w:t>
      </w:r>
    </w:p>
    <w:tbl>
      <w:tblPr>
        <w:tblStyle w:val="TableGrid"/>
        <w:tblW w:type="auto" w:w="0"/>
        <w:jc w:val="center"/>
        <w:tblLayout w:type="fixed"/>
        <w:tblLook w:firstColumn="1" w:firstRow="1" w:lastColumn="0" w:lastRow="0" w:noHBand="0" w:noVBand="1" w:val="04A0"/>
        <w:tblLayout w:type="fixed"/>
      </w:tblPr>
      <w:tblGrid>
        <w:gridCol w:w="720"/>
        <w:gridCol w:w="4608"/>
        <w:gridCol w:w="4608"/>
      </w:tblGrid>
      <w:tr>
        <w:tc>
          <w:tcPr>
            <w:tcW w:type="dxa" w:w="720"/>
            <w:shd w:val="clear" w:fill="D9E3F0"/>
          </w:tcPr>
          <w:p>
            <w:r/>
            <w:r>
              <w:rPr>
                <w:b/>
                <w:sz w:val="18"/>
              </w:rPr>
              <w:t>Gap</w:t>
            </w:r>
          </w:p>
        </w:tc>
        <w:tc>
          <w:tcPr>
            <w:tcW w:type="dxa" w:w="4608"/>
            <w:shd w:val="clear" w:fill="D9E3F0"/>
          </w:tcPr>
          <w:p>
            <w:r/>
            <w:r>
              <w:rPr>
                <w:b/>
                <w:sz w:val="18"/>
              </w:rPr>
              <w:t>Our contribution</w:t>
            </w:r>
          </w:p>
        </w:tc>
        <w:tc>
          <w:tcPr>
            <w:tcW w:type="dxa" w:w="4608"/>
            <w:shd w:val="clear" w:fill="D9E3F0"/>
          </w:tcPr>
          <w:p>
            <w:r/>
            <w:r>
              <w:rPr>
                <w:b/>
                <w:sz w:val="18"/>
              </w:rPr>
              <w:t>How it is evaluated</w:t>
            </w:r>
          </w:p>
        </w:tc>
      </w:tr>
      <w:tr>
        <w:tc>
          <w:tcPr>
            <w:tcW w:type="dxa" w:w="720"/>
          </w:tcPr>
          <w:p>
            <w:pPr>
              <w:spacing w:after="40"/>
            </w:pPr>
            <w:r/>
            <w:r>
              <w:rPr>
                <w:sz w:val="18"/>
              </w:rPr>
              <w:t>G1</w:t>
            </w:r>
          </w:p>
        </w:tc>
        <w:tc>
          <w:tcPr>
            <w:tcW w:type="dxa" w:w="4608"/>
          </w:tcPr>
          <w:p>
            <w:pPr>
              <w:spacing w:after="40"/>
            </w:pPr>
            <w:r/>
            <w:r>
              <w:rPr>
                <w:sz w:val="18"/>
              </w:rPr>
              <w:t>Anomaly-triggered edge-to-cloud escalation with activity-aware thresholds</w:t>
            </w:r>
          </w:p>
        </w:tc>
        <w:tc>
          <w:tcPr>
            <w:tcW w:type="dxa" w:w="4608"/>
          </w:tcPr>
          <w:p>
            <w:pPr>
              <w:spacing w:after="40"/>
            </w:pPr>
            <w:r/>
            <w:r>
              <w:rPr>
                <w:sz w:val="18"/>
              </w:rPr>
              <w:t>Recall/precision versus uplink-volume operating curve</w:t>
            </w:r>
          </w:p>
        </w:tc>
      </w:tr>
      <w:tr>
        <w:tc>
          <w:tcPr>
            <w:tcW w:type="dxa" w:w="720"/>
          </w:tcPr>
          <w:p>
            <w:pPr>
              <w:spacing w:after="40"/>
            </w:pPr>
            <w:r/>
            <w:r>
              <w:rPr>
                <w:sz w:val="18"/>
              </w:rPr>
              <w:t>G2</w:t>
            </w:r>
          </w:p>
        </w:tc>
        <w:tc>
          <w:tcPr>
            <w:tcW w:type="dxa" w:w="4608"/>
          </w:tcPr>
          <w:p>
            <w:pPr>
              <w:spacing w:after="40"/>
            </w:pPr>
            <w:r/>
            <w:r>
              <w:rPr>
                <w:sz w:val="18"/>
              </w:rPr>
              <w:t>Byte and message instrumentation against a stream-everything baseline</w:t>
            </w:r>
          </w:p>
        </w:tc>
        <w:tc>
          <w:tcPr>
            <w:tcW w:type="dxa" w:w="4608"/>
          </w:tcPr>
          <w:p>
            <w:pPr>
              <w:spacing w:after="40"/>
            </w:pPr>
            <w:r/>
            <w:r>
              <w:rPr>
                <w:sz w:val="18"/>
              </w:rPr>
              <w:t>Measured percentage reduction, reported in results/benchmarks/</w:t>
            </w:r>
          </w:p>
        </w:tc>
      </w:tr>
      <w:tr>
        <w:tc>
          <w:tcPr>
            <w:tcW w:type="dxa" w:w="720"/>
          </w:tcPr>
          <w:p>
            <w:pPr>
              <w:spacing w:after="40"/>
            </w:pPr>
            <w:r/>
            <w:r>
              <w:rPr>
                <w:sz w:val="18"/>
              </w:rPr>
              <w:t>G3</w:t>
            </w:r>
          </w:p>
        </w:tc>
        <w:tc>
          <w:tcPr>
            <w:tcW w:type="dxa" w:w="4608"/>
          </w:tcPr>
          <w:p>
            <w:pPr>
              <w:spacing w:after="40"/>
            </w:pPr>
            <w:r/>
            <w:r>
              <w:rPr>
                <w:sz w:val="18"/>
              </w:rPr>
              <w:t>INT8 TFLite pipeline plus an on-device latency harness</w:t>
            </w:r>
          </w:p>
        </w:tc>
        <w:tc>
          <w:tcPr>
            <w:tcW w:type="dxa" w:w="4608"/>
          </w:tcPr>
          <w:p>
            <w:pPr>
              <w:spacing w:after="40"/>
            </w:pPr>
            <w:r/>
            <w:r>
              <w:rPr>
                <w:sz w:val="18"/>
              </w:rPr>
              <w:t>Accuracy delta and milliseconds per window on a Raspberry Pi 4</w:t>
            </w:r>
          </w:p>
        </w:tc>
      </w:tr>
      <w:tr>
        <w:tc>
          <w:tcPr>
            <w:tcW w:type="dxa" w:w="720"/>
          </w:tcPr>
          <w:p>
            <w:pPr>
              <w:spacing w:after="40"/>
            </w:pPr>
            <w:r/>
            <w:r>
              <w:rPr>
                <w:sz w:val="18"/>
              </w:rPr>
              <w:t>G4</w:t>
            </w:r>
          </w:p>
        </w:tc>
        <w:tc>
          <w:tcPr>
            <w:tcW w:type="dxa" w:w="4608"/>
          </w:tcPr>
          <w:p>
            <w:pPr>
              <w:spacing w:after="40"/>
            </w:pPr>
            <w:r/>
            <w:r>
              <w:rPr>
                <w:sz w:val="18"/>
              </w:rPr>
              <w:t>Fully serverless tier with a published Free Tier budget</w:t>
            </w:r>
          </w:p>
        </w:tc>
        <w:tc>
          <w:tcPr>
            <w:tcW w:type="dxa" w:w="4608"/>
          </w:tcPr>
          <w:p>
            <w:pPr>
              <w:spacing w:after="40"/>
            </w:pPr>
            <w:r/>
            <w:r>
              <w:rPr>
                <w:sz w:val="18"/>
              </w:rPr>
              <w:t>AWS Cost Explorer bill plus a beyond-Free-Tier projection model</w:t>
            </w:r>
          </w:p>
        </w:tc>
      </w:tr>
      <w:tr>
        <w:tc>
          <w:tcPr>
            <w:tcW w:type="dxa" w:w="720"/>
          </w:tcPr>
          <w:p>
            <w:pPr>
              <w:spacing w:after="40"/>
            </w:pPr>
            <w:r/>
            <w:r>
              <w:rPr>
                <w:sz w:val="18"/>
              </w:rPr>
              <w:t>G5</w:t>
            </w:r>
          </w:p>
        </w:tc>
        <w:tc>
          <w:tcPr>
            <w:tcW w:type="dxa" w:w="4608"/>
          </w:tcPr>
          <w:p>
            <w:pPr>
              <w:spacing w:after="40"/>
            </w:pPr>
            <w:r/>
            <w:r>
              <w:rPr>
                <w:sz w:val="18"/>
              </w:rPr>
              <w:t>One-command infrastructure-as-code and a hardware-free simulator</w:t>
            </w:r>
          </w:p>
        </w:tc>
        <w:tc>
          <w:tcPr>
            <w:tcW w:type="dxa" w:w="4608"/>
          </w:tcPr>
          <w:p>
            <w:pPr>
              <w:spacing w:after="40"/>
            </w:pPr>
            <w:r/>
            <w:r>
              <w:rPr>
                <w:sz w:val="18"/>
              </w:rPr>
              <w:t>Clean-account deployment from scratch, timed</w:t>
            </w:r>
          </w:p>
        </w:tc>
      </w:tr>
      <w:tr>
        <w:tc>
          <w:tcPr>
            <w:tcW w:type="dxa" w:w="720"/>
          </w:tcPr>
          <w:p>
            <w:pPr>
              <w:spacing w:after="40"/>
            </w:pPr>
            <w:r/>
            <w:r>
              <w:rPr>
                <w:sz w:val="18"/>
              </w:rPr>
              <w:t>G6</w:t>
            </w:r>
          </w:p>
        </w:tc>
        <w:tc>
          <w:tcPr>
            <w:tcW w:type="dxa" w:w="4608"/>
          </w:tcPr>
          <w:p>
            <w:pPr>
              <w:spacing w:after="40"/>
            </w:pPr>
            <w:r/>
            <w:r>
              <w:rPr>
                <w:sz w:val="18"/>
              </w:rPr>
              <w:t>Prioritised store-and-forward buffer</w:t>
            </w:r>
          </w:p>
        </w:tc>
        <w:tc>
          <w:tcPr>
            <w:tcW w:type="dxa" w:w="4608"/>
          </w:tcPr>
          <w:p>
            <w:pPr>
              <w:spacing w:after="40"/>
            </w:pPr>
            <w:r/>
            <w:r>
              <w:rPr>
                <w:sz w:val="18"/>
              </w:rPr>
              <w:t>Chaos test: 30 minutes offline, measuring data loss and replay latency</w:t>
            </w:r>
          </w:p>
        </w:tc>
      </w:tr>
    </w:tbl>
    <w:p>
      <w:pPr>
        <w:spacing w:after="80"/>
      </w:pPr>
    </w:p>
    <w:p>
      <w:pPr>
        <w:pStyle w:val="Heading2"/>
        <w:spacing w:before="200" w:after="120"/>
      </w:pPr>
      <w:r>
        <w:t>4.3  Research questions</w:t>
      </w:r>
    </w:p>
    <w:p>
      <w:pPr>
        <w:pStyle w:val="ListBullet"/>
        <w:spacing w:after="60"/>
      </w:pPr>
      <w:r>
        <w:rPr>
          <w:b/>
        </w:rPr>
        <w:t xml:space="preserve">RQ1.  </w:t>
      </w:r>
      <w:r>
        <w:t>For 10-second wearable vital-sign windows, what edge-threshold setting minimises uplink volume subject to a false-negative rate below 5 %?</w:t>
      </w:r>
    </w:p>
    <w:p>
      <w:pPr>
        <w:pStyle w:val="ListBullet"/>
        <w:spacing w:after="60"/>
      </w:pPr>
      <w:r>
        <w:rPr>
          <w:b/>
        </w:rPr>
        <w:t xml:space="preserve">RQ2.  </w:t>
      </w:r>
      <w:r>
        <w:t>How much accuracy is lost by INT8 quantisation of the edge autoencoder, and is that loss recovered by the cloud confirmation stage?</w:t>
      </w:r>
    </w:p>
    <w:p>
      <w:pPr>
        <w:pStyle w:val="ListBullet"/>
        <w:spacing w:after="60"/>
      </w:pPr>
      <w:r>
        <w:rPr>
          <w:b/>
        </w:rPr>
        <w:t xml:space="preserve">RQ3.  </w:t>
      </w:r>
      <w:r>
        <w:t>What is the p95 end-to-end latency from an anomalous sample to a delivered notification in a purely serverless AWS pipeline, and what dominates it?</w:t>
      </w:r>
    </w:p>
    <w:p>
      <w:pPr>
        <w:pStyle w:val="ListBullet"/>
        <w:spacing w:after="60"/>
      </w:pPr>
      <w:r>
        <w:rPr>
          <w:b/>
        </w:rPr>
        <w:t xml:space="preserve">RQ4.  </w:t>
      </w:r>
      <w:r>
        <w:t>At what device count does the architecture exit the AWS Free Tier, and what is the marginal cost per device per month beyond that point?</w:t>
      </w:r>
    </w:p>
    <w:p>
      <w:pPr>
        <w:pStyle w:val="ListBullet"/>
        <w:spacing w:after="60"/>
      </w:pPr>
      <w:r>
        <w:rPr>
          <w:b/>
        </w:rPr>
        <w:t xml:space="preserve">RQ5.  </w:t>
      </w:r>
      <w:r>
        <w:t>Does incorporating accelerometer-derived activity context measurably reduce motion-artefact false positives?</w:t>
      </w:r>
    </w:p>
    <w:p>
      <w:pPr>
        <w:pStyle w:val="Heading2"/>
        <w:spacing w:before="200" w:after="120"/>
      </w:pPr>
      <w:r>
        <w:t>4.4  Novelty statement</w:t>
      </w:r>
    </w:p>
    <w:p>
      <w:pPr>
        <w:spacing w:after="120"/>
      </w:pPr>
      <w:r>
        <w:rPr>
          <w:b w:val="0"/>
          <w:i/>
        </w:rPr>
        <w:t>Existing wearable-health platforms either stream all raw physiological data to the cloud — which is expensive, energy-hungry and slow to alert — or run detection entirely on the edge, which caps model capacity. Cascaded inference resolves this tension for computer vision, but has not been validated on continuous, highly imbalanced, context-dependent physiological streams. This project implements and empirically evaluates such a cascade end to end: a sub-500 KB quantised autoencoder screens 10-second windows on the device and escalates only suspicious ones to a higher-capacity confirmation model running in a fully serverless AWS backend. The contribution is threefold: an activity-aware escalation policy with a measured recall-versus-bandwidth operating curve; an end-to-end latency and accuracy evaluation of the deployed cascade rather than the model alone; and a fully reproducible, infrastructure-as-code deployment with a published cost model demonstrating zero-cost operation within the AWS Free Tier at demonstration scale.</w:t>
      </w:r>
    </w:p>
    <w:p>
      <w:pPr>
        <w:pStyle w:val="Heading1"/>
        <w:spacing w:before="280" w:after="120"/>
      </w:pPr>
      <w:r>
        <w:t>5.  Proposed Architecture / Framework</w:t>
      </w:r>
    </w:p>
    <w:p>
      <w:pPr>
        <w:spacing w:after="120"/>
      </w:pPr>
      <w:r>
        <w:rPr>
          <w:b w:val="0"/>
          <w:i w:val="0"/>
        </w:rPr>
        <w:t>The platform is a three-tier, event-driven, serverless architecture with split inference across the edge and cloud tiers.</w:t>
      </w:r>
    </w:p>
    <w:p>
      <w:pPr>
        <w:jc w:val="center"/>
      </w:pPr>
      <w:r>
        <w:drawing>
          <wp:inline xmlns:a="http://schemas.openxmlformats.org/drawingml/2006/main" xmlns:pic="http://schemas.openxmlformats.org/drawingml/2006/picture">
            <wp:extent cx="6309360" cy="3285852"/>
            <wp:docPr id="1" name="Picture 1"/>
            <wp:cNvGraphicFramePr>
              <a:graphicFrameLocks noChangeAspect="1"/>
            </wp:cNvGraphicFramePr>
            <a:graphic>
              <a:graphicData uri="http://schemas.openxmlformats.org/drawingml/2006/picture">
                <pic:pic>
                  <pic:nvPicPr>
                    <pic:cNvPr id="0" name="architecture_diagram.png"/>
                    <pic:cNvPicPr/>
                  </pic:nvPicPr>
                  <pic:blipFill>
                    <a:blip r:embed="rId9"/>
                    <a:stretch>
                      <a:fillRect/>
                    </a:stretch>
                  </pic:blipFill>
                  <pic:spPr>
                    <a:xfrm>
                      <a:off x="0" y="0"/>
                      <a:ext cx="6309360" cy="3285852"/>
                    </a:xfrm>
                    <a:prstGeom prst="rect"/>
                  </pic:spPr>
                </pic:pic>
              </a:graphicData>
            </a:graphic>
          </wp:inline>
        </w:drawing>
      </w:r>
    </w:p>
    <w:p>
      <w:pPr>
        <w:spacing w:after="240"/>
        <w:jc w:val="center"/>
      </w:pPr>
      <w:r>
        <w:rPr>
          <w:b w:val="0"/>
          <w:i/>
          <w:color w:val="5B6672"/>
          <w:sz w:val="18"/>
        </w:rPr>
        <w:t>Figure 1 — Proposed system architecture. The edge tier screens every window and escalates only suspicious ones; the cloud tier confirms, persists, alerts and serves the dashboard.</w:t>
      </w:r>
    </w:p>
    <w:p>
      <w:pPr>
        <w:pStyle w:val="Heading2"/>
        <w:spacing w:before="200" w:after="120"/>
      </w:pPr>
      <w:r>
        <w:t>5.1  Tier responsibilities</w:t>
      </w:r>
    </w:p>
    <w:tbl>
      <w:tblPr>
        <w:tblStyle w:val="TableGrid"/>
        <w:tblW w:type="auto" w:w="0"/>
        <w:jc w:val="center"/>
        <w:tblLayout w:type="fixed"/>
        <w:tblLook w:firstColumn="1" w:firstRow="1" w:lastColumn="0" w:lastRow="0" w:noHBand="0" w:noVBand="1" w:val="04A0"/>
        <w:tblLayout w:type="fixed"/>
      </w:tblPr>
      <w:tblGrid>
        <w:gridCol w:w="1440"/>
        <w:gridCol w:w="5184"/>
        <w:gridCol w:w="3312"/>
      </w:tblGrid>
      <w:tr>
        <w:tc>
          <w:tcPr>
            <w:tcW w:type="dxa" w:w="1440"/>
            <w:shd w:val="clear" w:fill="D9E3F0"/>
          </w:tcPr>
          <w:p>
            <w:r/>
            <w:r>
              <w:rPr>
                <w:b/>
                <w:sz w:val="19"/>
              </w:rPr>
              <w:t>Tier</w:t>
            </w:r>
          </w:p>
        </w:tc>
        <w:tc>
          <w:tcPr>
            <w:tcW w:type="dxa" w:w="5184"/>
            <w:shd w:val="clear" w:fill="D9E3F0"/>
          </w:tcPr>
          <w:p>
            <w:r/>
            <w:r>
              <w:rPr>
                <w:b/>
                <w:sz w:val="19"/>
              </w:rPr>
              <w:t>Responsibility</w:t>
            </w:r>
          </w:p>
        </w:tc>
        <w:tc>
          <w:tcPr>
            <w:tcW w:type="dxa" w:w="3312"/>
            <w:shd w:val="clear" w:fill="D9E3F0"/>
          </w:tcPr>
          <w:p>
            <w:r/>
            <w:r>
              <w:rPr>
                <w:b/>
                <w:sz w:val="19"/>
              </w:rPr>
              <w:t>Deployment</w:t>
            </w:r>
          </w:p>
        </w:tc>
      </w:tr>
      <w:tr>
        <w:tc>
          <w:tcPr>
            <w:tcW w:type="dxa" w:w="1440"/>
          </w:tcPr>
          <w:p>
            <w:pPr>
              <w:spacing w:after="40"/>
            </w:pPr>
            <w:r/>
            <w:r>
              <w:rPr>
                <w:sz w:val="19"/>
              </w:rPr>
              <w:t>Edge</w:t>
            </w:r>
          </w:p>
        </w:tc>
        <w:tc>
          <w:tcPr>
            <w:tcW w:type="dxa" w:w="5184"/>
          </w:tcPr>
          <w:p>
            <w:pPr>
              <w:spacing w:after="40"/>
            </w:pPr>
            <w:r/>
            <w:r>
              <w:rPr>
                <w:sz w:val="19"/>
              </w:rPr>
              <w:t>Acquisition, signal conditioning, first-pass anomaly screening, adaptive uplink, offline buffering</w:t>
            </w:r>
          </w:p>
        </w:tc>
        <w:tc>
          <w:tcPr>
            <w:tcW w:type="dxa" w:w="3312"/>
          </w:tcPr>
          <w:p>
            <w:pPr>
              <w:spacing w:after="40"/>
            </w:pPr>
            <w:r/>
            <w:r>
              <w:rPr>
                <w:sz w:val="19"/>
              </w:rPr>
              <w:t>Raspberry Pi gateway or Python simulator</w:t>
            </w:r>
          </w:p>
        </w:tc>
      </w:tr>
      <w:tr>
        <w:tc>
          <w:tcPr>
            <w:tcW w:type="dxa" w:w="1440"/>
          </w:tcPr>
          <w:p>
            <w:pPr>
              <w:spacing w:after="40"/>
            </w:pPr>
            <w:r/>
            <w:r>
              <w:rPr>
                <w:sz w:val="19"/>
              </w:rPr>
              <w:t>Cloud</w:t>
            </w:r>
          </w:p>
        </w:tc>
        <w:tc>
          <w:tcPr>
            <w:tcW w:type="dxa" w:w="5184"/>
          </w:tcPr>
          <w:p>
            <w:pPr>
              <w:spacing w:after="40"/>
            </w:pPr>
            <w:r/>
            <w:r>
              <w:rPr>
                <w:sz w:val="19"/>
              </w:rPr>
              <w:t>Ingestion, confirmation inference, persistence, alerting, query API</w:t>
            </w:r>
          </w:p>
        </w:tc>
        <w:tc>
          <w:tcPr>
            <w:tcW w:type="dxa" w:w="3312"/>
          </w:tcPr>
          <w:p>
            <w:pPr>
              <w:spacing w:after="40"/>
            </w:pPr>
            <w:r/>
            <w:r>
              <w:rPr>
                <w:sz w:val="19"/>
              </w:rPr>
              <w:t>AWS managed services (Free Tier)</w:t>
            </w:r>
          </w:p>
        </w:tc>
      </w:tr>
      <w:tr>
        <w:tc>
          <w:tcPr>
            <w:tcW w:type="dxa" w:w="1440"/>
          </w:tcPr>
          <w:p>
            <w:pPr>
              <w:spacing w:after="40"/>
            </w:pPr>
            <w:r/>
            <w:r>
              <w:rPr>
                <w:sz w:val="19"/>
              </w:rPr>
              <w:t>Presentation</w:t>
            </w:r>
          </w:p>
        </w:tc>
        <w:tc>
          <w:tcPr>
            <w:tcW w:type="dxa" w:w="5184"/>
          </w:tcPr>
          <w:p>
            <w:pPr>
              <w:spacing w:after="40"/>
            </w:pPr>
            <w:r/>
            <w:r>
              <w:rPr>
                <w:sz w:val="19"/>
              </w:rPr>
              <w:t>Clinician and caregiver dashboard</w:t>
            </w:r>
          </w:p>
        </w:tc>
        <w:tc>
          <w:tcPr>
            <w:tcW w:type="dxa" w:w="3312"/>
          </w:tcPr>
          <w:p>
            <w:pPr>
              <w:spacing w:after="40"/>
            </w:pPr>
            <w:r/>
            <w:r>
              <w:rPr>
                <w:sz w:val="19"/>
              </w:rPr>
              <w:t>React SPA on Amazon S3 + CloudFront</w:t>
            </w:r>
          </w:p>
        </w:tc>
      </w:tr>
    </w:tbl>
    <w:p>
      <w:pPr>
        <w:spacing w:after="80"/>
      </w:pPr>
    </w:p>
    <w:p>
      <w:pPr>
        <w:pStyle w:val="Heading2"/>
        <w:spacing w:before="200" w:after="120"/>
      </w:pPr>
      <w:r>
        <w:t>5.2  The uplink policy (core mechanism)</w:t>
      </w:r>
    </w:p>
    <w:p>
      <w:pPr>
        <w:spacing w:after="120"/>
      </w:pPr>
      <w:r>
        <w:rPr>
          <w:b w:val="0"/>
          <w:i w:val="0"/>
        </w:rPr>
        <w:t>Every 10-second window is scored on the device; the resulting reconstruction error determines how much data is transmitted. This single decision is what keeps the deployment inside the AWS IoT Core free-tier message quota.</w:t>
      </w:r>
    </w:p>
    <w:tbl>
      <w:tblPr>
        <w:tblStyle w:val="TableGrid"/>
        <w:tblW w:type="auto" w:w="0"/>
        <w:jc w:val="center"/>
        <w:tblLayout w:type="fixed"/>
        <w:tblLook w:firstColumn="1" w:firstRow="1" w:lastColumn="0" w:lastRow="0" w:noHBand="0" w:noVBand="1" w:val="04A0"/>
        <w:tblLayout w:type="fixed"/>
      </w:tblPr>
      <w:tblGrid>
        <w:gridCol w:w="2448"/>
        <w:gridCol w:w="1296"/>
        <w:gridCol w:w="4608"/>
        <w:gridCol w:w="1584"/>
      </w:tblGrid>
      <w:tr>
        <w:tc>
          <w:tcPr>
            <w:tcW w:type="dxa" w:w="2448"/>
            <w:shd w:val="clear" w:fill="D9E3F0"/>
          </w:tcPr>
          <w:p>
            <w:r/>
            <w:r>
              <w:rPr>
                <w:b/>
                <w:sz w:val="19"/>
              </w:rPr>
              <w:t>Reconstruction error</w:t>
            </w:r>
          </w:p>
        </w:tc>
        <w:tc>
          <w:tcPr>
            <w:tcW w:type="dxa" w:w="1296"/>
            <w:shd w:val="clear" w:fill="D9E3F0"/>
          </w:tcPr>
          <w:p>
            <w:r/>
            <w:r>
              <w:rPr>
                <w:b/>
                <w:sz w:val="19"/>
              </w:rPr>
              <w:t>Flag</w:t>
            </w:r>
          </w:p>
        </w:tc>
        <w:tc>
          <w:tcPr>
            <w:tcW w:type="dxa" w:w="4608"/>
            <w:shd w:val="clear" w:fill="D9E3F0"/>
          </w:tcPr>
          <w:p>
            <w:r/>
            <w:r>
              <w:rPr>
                <w:b/>
                <w:sz w:val="19"/>
              </w:rPr>
              <w:t>What is published</w:t>
            </w:r>
          </w:p>
        </w:tc>
        <w:tc>
          <w:tcPr>
            <w:tcW w:type="dxa" w:w="1584"/>
            <w:shd w:val="clear" w:fill="D9E3F0"/>
          </w:tcPr>
          <w:p>
            <w:r/>
            <w:r>
              <w:rPr>
                <w:b/>
                <w:sz w:val="19"/>
              </w:rPr>
              <w:t>Approx. size</w:t>
            </w:r>
          </w:p>
        </w:tc>
      </w:tr>
      <w:tr>
        <w:tc>
          <w:tcPr>
            <w:tcW w:type="dxa" w:w="2448"/>
          </w:tcPr>
          <w:p>
            <w:pPr>
              <w:spacing w:after="40"/>
            </w:pPr>
            <w:r/>
            <w:r>
              <w:rPr>
                <w:sz w:val="19"/>
              </w:rPr>
              <w:t>e &lt; τ_low</w:t>
            </w:r>
          </w:p>
        </w:tc>
        <w:tc>
          <w:tcPr>
            <w:tcW w:type="dxa" w:w="1296"/>
          </w:tcPr>
          <w:p>
            <w:pPr>
              <w:spacing w:after="40"/>
            </w:pPr>
            <w:r/>
            <w:r>
              <w:rPr>
                <w:sz w:val="19"/>
              </w:rPr>
              <w:t>normal</w:t>
            </w:r>
          </w:p>
        </w:tc>
        <w:tc>
          <w:tcPr>
            <w:tcW w:type="dxa" w:w="4608"/>
          </w:tcPr>
          <w:p>
            <w:pPr>
              <w:spacing w:after="40"/>
            </w:pPr>
            <w:r/>
            <w:r>
              <w:rPr>
                <w:sz w:val="19"/>
              </w:rPr>
              <w:t>Compact statistical summary only</w:t>
            </w:r>
          </w:p>
        </w:tc>
        <w:tc>
          <w:tcPr>
            <w:tcW w:type="dxa" w:w="1584"/>
          </w:tcPr>
          <w:p>
            <w:pPr>
              <w:spacing w:after="40"/>
            </w:pPr>
            <w:r/>
            <w:r>
              <w:rPr>
                <w:sz w:val="19"/>
              </w:rPr>
              <w:t>≈ 430 bytes</w:t>
            </w:r>
          </w:p>
        </w:tc>
      </w:tr>
      <w:tr>
        <w:tc>
          <w:tcPr>
            <w:tcW w:type="dxa" w:w="2448"/>
          </w:tcPr>
          <w:p>
            <w:pPr>
              <w:spacing w:after="40"/>
            </w:pPr>
            <w:r/>
            <w:r>
              <w:rPr>
                <w:sz w:val="19"/>
              </w:rPr>
              <w:t>τ_low ≤ e &lt; τ_high</w:t>
            </w:r>
          </w:p>
        </w:tc>
        <w:tc>
          <w:tcPr>
            <w:tcW w:type="dxa" w:w="1296"/>
          </w:tcPr>
          <w:p>
            <w:pPr>
              <w:spacing w:after="40"/>
            </w:pPr>
            <w:r/>
            <w:r>
              <w:rPr>
                <w:sz w:val="19"/>
              </w:rPr>
              <w:t>suspect</w:t>
            </w:r>
          </w:p>
        </w:tc>
        <w:tc>
          <w:tcPr>
            <w:tcW w:type="dxa" w:w="4608"/>
          </w:tcPr>
          <w:p>
            <w:pPr>
              <w:spacing w:after="40"/>
            </w:pPr>
            <w:r/>
            <w:r>
              <w:rPr>
                <w:sz w:val="19"/>
              </w:rPr>
              <w:t>Summary + downsampled waveform</w:t>
            </w:r>
          </w:p>
        </w:tc>
        <w:tc>
          <w:tcPr>
            <w:tcW w:type="dxa" w:w="1584"/>
          </w:tcPr>
          <w:p>
            <w:pPr>
              <w:spacing w:after="40"/>
            </w:pPr>
            <w:r/>
            <w:r>
              <w:rPr>
                <w:sz w:val="19"/>
              </w:rPr>
              <w:t>≈ 2 KB</w:t>
            </w:r>
          </w:p>
        </w:tc>
      </w:tr>
      <w:tr>
        <w:tc>
          <w:tcPr>
            <w:tcW w:type="dxa" w:w="2448"/>
          </w:tcPr>
          <w:p>
            <w:pPr>
              <w:spacing w:after="40"/>
            </w:pPr>
            <w:r/>
            <w:r>
              <w:rPr>
                <w:sz w:val="19"/>
              </w:rPr>
              <w:t>e ≥ τ_high</w:t>
            </w:r>
          </w:p>
        </w:tc>
        <w:tc>
          <w:tcPr>
            <w:tcW w:type="dxa" w:w="1296"/>
          </w:tcPr>
          <w:p>
            <w:pPr>
              <w:spacing w:after="40"/>
            </w:pPr>
            <w:r/>
            <w:r>
              <w:rPr>
                <w:sz w:val="19"/>
              </w:rPr>
              <w:t>critical</w:t>
            </w:r>
          </w:p>
        </w:tc>
        <w:tc>
          <w:tcPr>
            <w:tcW w:type="dxa" w:w="4608"/>
          </w:tcPr>
          <w:p>
            <w:pPr>
              <w:spacing w:after="40"/>
            </w:pPr>
            <w:r/>
            <w:r>
              <w:rPr>
                <w:sz w:val="19"/>
              </w:rPr>
              <w:t>Summary + full waveform, QoS 1, priority</w:t>
            </w:r>
          </w:p>
        </w:tc>
        <w:tc>
          <w:tcPr>
            <w:tcW w:type="dxa" w:w="1584"/>
          </w:tcPr>
          <w:p>
            <w:pPr>
              <w:spacing w:after="40"/>
            </w:pPr>
            <w:r/>
            <w:r>
              <w:rPr>
                <w:sz w:val="19"/>
              </w:rPr>
              <w:t>≈ 3.7 KB</w:t>
            </w:r>
          </w:p>
        </w:tc>
      </w:tr>
    </w:tbl>
    <w:p>
      <w:pPr>
        <w:spacing w:after="80"/>
      </w:pPr>
    </w:p>
    <w:p>
      <w:pPr>
        <w:spacing w:after="120"/>
      </w:pPr>
      <w:r>
        <w:rPr>
          <w:b w:val="0"/>
          <w:i w:val="0"/>
        </w:rPr>
        <w:t>Thresholds are activity-scaled: motion inflates reconstruction error, so tolerance rises while the wearer is moving. They are also overridable per device at runtime through an MQTT configuration topic, so the operating point can be tuned without reflashing devices.</w:t>
      </w:r>
    </w:p>
    <w:p>
      <w:pPr>
        <w:pStyle w:val="Heading2"/>
        <w:spacing w:before="200" w:after="120"/>
      </w:pPr>
      <w:r>
        <w:t>5.3  Normal and anomaly data flows</w:t>
      </w:r>
    </w:p>
    <w:p>
      <w:pPr>
        <w:pStyle w:val="ListBullet"/>
        <w:spacing w:after="60"/>
      </w:pPr>
      <w:r>
        <w:rPr>
          <w:b/>
        </w:rPr>
        <w:t xml:space="preserve">Normal path:  </w:t>
      </w:r>
      <w:r>
        <w:t>sensor → conditioning → windowing → TFLite inference → summary published over MQTT → IoT Rule → ingest_handler Lambda → DynamoDB item with a 30-day TTL.</w:t>
      </w:r>
    </w:p>
    <w:p>
      <w:pPr>
        <w:pStyle w:val="ListBullet"/>
        <w:spacing w:after="60"/>
      </w:pPr>
      <w:r>
        <w:rPr>
          <w:b/>
        </w:rPr>
        <w:t xml:space="preserve">Anomaly path:  </w:t>
      </w:r>
      <w:r>
        <w:t>the full waveform is attached and published at QoS 1 → ingest_handler archives it to Amazon S3 and asynchronously invokes anomaly_processor → the full-precision model plus a rule-based cross-check either confirms the event (writing an Alert and invoking alert_dispatcher, which de-duplicates and publishes to SNS) or rejects it, recording a hard negative for the next retraining round.</w:t>
      </w:r>
    </w:p>
    <w:p>
      <w:pPr>
        <w:pStyle w:val="Heading2"/>
        <w:spacing w:before="200" w:after="120"/>
      </w:pPr>
      <w:r>
        <w:t>5.4  Key design decisions</w:t>
      </w:r>
    </w:p>
    <w:tbl>
      <w:tblPr>
        <w:tblStyle w:val="TableGrid"/>
        <w:tblW w:type="auto" w:w="0"/>
        <w:jc w:val="center"/>
        <w:tblLayout w:type="fixed"/>
        <w:tblLook w:firstColumn="1" w:firstRow="1" w:lastColumn="0" w:lastRow="0" w:noHBand="0" w:noVBand="1" w:val="04A0"/>
        <w:tblLayout w:type="fixed"/>
      </w:tblPr>
      <w:tblGrid>
        <w:gridCol w:w="792"/>
        <w:gridCol w:w="2664"/>
        <w:gridCol w:w="6480"/>
      </w:tblGrid>
      <w:tr>
        <w:tc>
          <w:tcPr>
            <w:tcW w:type="dxa" w:w="792"/>
            <w:shd w:val="clear" w:fill="D9E3F0"/>
          </w:tcPr>
          <w:p>
            <w:r/>
            <w:r>
              <w:rPr>
                <w:b/>
                <w:sz w:val="18"/>
              </w:rPr>
              <w:t>#</w:t>
            </w:r>
          </w:p>
        </w:tc>
        <w:tc>
          <w:tcPr>
            <w:tcW w:type="dxa" w:w="2664"/>
            <w:shd w:val="clear" w:fill="D9E3F0"/>
          </w:tcPr>
          <w:p>
            <w:r/>
            <w:r>
              <w:rPr>
                <w:b/>
                <w:sz w:val="18"/>
              </w:rPr>
              <w:t>Decision</w:t>
            </w:r>
          </w:p>
        </w:tc>
        <w:tc>
          <w:tcPr>
            <w:tcW w:type="dxa" w:w="6480"/>
            <w:shd w:val="clear" w:fill="D9E3F0"/>
          </w:tcPr>
          <w:p>
            <w:r/>
            <w:r>
              <w:rPr>
                <w:b/>
                <w:sz w:val="18"/>
              </w:rPr>
              <w:t>Rationale</w:t>
            </w:r>
          </w:p>
        </w:tc>
      </w:tr>
      <w:tr>
        <w:tc>
          <w:tcPr>
            <w:tcW w:type="dxa" w:w="792"/>
          </w:tcPr>
          <w:p>
            <w:pPr>
              <w:spacing w:after="40"/>
            </w:pPr>
            <w:r/>
            <w:r>
              <w:rPr>
                <w:sz w:val="18"/>
              </w:rPr>
              <w:t>ADR-1</w:t>
            </w:r>
          </w:p>
        </w:tc>
        <w:tc>
          <w:tcPr>
            <w:tcW w:type="dxa" w:w="2664"/>
          </w:tcPr>
          <w:p>
            <w:pPr>
              <w:spacing w:after="40"/>
            </w:pPr>
            <w:r/>
            <w:r>
              <w:rPr>
                <w:sz w:val="18"/>
              </w:rPr>
              <w:t>AWS Lambda for all compute, not EC2</w:t>
            </w:r>
          </w:p>
        </w:tc>
        <w:tc>
          <w:tcPr>
            <w:tcW w:type="dxa" w:w="6480"/>
          </w:tcPr>
          <w:p>
            <w:pPr>
              <w:spacing w:after="40"/>
            </w:pPr>
            <w:r/>
            <w:r>
              <w:rPr>
                <w:sz w:val="18"/>
              </w:rPr>
              <w:t>Lambda's 1 M requests and 400 000 GB-seconds per month are always free, whereas the EC2 allowance expires after 12 months and bills continuously. Matches a bursty, event-driven IoT workload.</w:t>
            </w:r>
          </w:p>
        </w:tc>
      </w:tr>
      <w:tr>
        <w:tc>
          <w:tcPr>
            <w:tcW w:type="dxa" w:w="792"/>
          </w:tcPr>
          <w:p>
            <w:pPr>
              <w:spacing w:after="40"/>
            </w:pPr>
            <w:r/>
            <w:r>
              <w:rPr>
                <w:sz w:val="18"/>
              </w:rPr>
              <w:t>ADR-2</w:t>
            </w:r>
          </w:p>
        </w:tc>
        <w:tc>
          <w:tcPr>
            <w:tcW w:type="dxa" w:w="2664"/>
          </w:tcPr>
          <w:p>
            <w:pPr>
              <w:spacing w:after="40"/>
            </w:pPr>
            <w:r/>
            <w:r>
              <w:rPr>
                <w:sz w:val="18"/>
              </w:rPr>
              <w:t>DynamoDB as the hot store, not RDS</w:t>
            </w:r>
          </w:p>
        </w:tc>
        <w:tc>
          <w:tcPr>
            <w:tcW w:type="dxa" w:w="6480"/>
          </w:tcPr>
          <w:p>
            <w:pPr>
              <w:spacing w:after="40"/>
            </w:pPr>
            <w:r/>
            <w:r>
              <w:rPr>
                <w:sz w:val="18"/>
              </w:rPr>
              <w:t>25 GB of storage is always free; the access pattern (device partition key, timestamp sort key) fits naturally. The RDS free tier expires after 12 months.</w:t>
            </w:r>
          </w:p>
        </w:tc>
      </w:tr>
      <w:tr>
        <w:tc>
          <w:tcPr>
            <w:tcW w:type="dxa" w:w="792"/>
          </w:tcPr>
          <w:p>
            <w:pPr>
              <w:spacing w:after="40"/>
            </w:pPr>
            <w:r/>
            <w:r>
              <w:rPr>
                <w:sz w:val="18"/>
              </w:rPr>
              <w:t>ADR-3</w:t>
            </w:r>
          </w:p>
        </w:tc>
        <w:tc>
          <w:tcPr>
            <w:tcW w:type="dxa" w:w="2664"/>
          </w:tcPr>
          <w:p>
            <w:pPr>
              <w:spacing w:after="40"/>
            </w:pPr>
            <w:r/>
            <w:r>
              <w:rPr>
                <w:sz w:val="18"/>
              </w:rPr>
              <w:t>AWS IoT Core as the ingestion front door</w:t>
            </w:r>
          </w:p>
        </w:tc>
        <w:tc>
          <w:tcPr>
            <w:tcW w:type="dxa" w:w="6480"/>
          </w:tcPr>
          <w:p>
            <w:pPr>
              <w:spacing w:after="40"/>
            </w:pPr>
            <w:r/>
            <w:r>
              <w:rPr>
                <w:sz w:val="18"/>
              </w:rPr>
              <w:t>Managed MQTT with per-device X.509 identity, TLS, QoS 1 delivery on a lossy link, and a Rules Engine that invokes Lambda directly — no broker to operate.</w:t>
            </w:r>
          </w:p>
        </w:tc>
      </w:tr>
      <w:tr>
        <w:tc>
          <w:tcPr>
            <w:tcW w:type="dxa" w:w="792"/>
          </w:tcPr>
          <w:p>
            <w:pPr>
              <w:spacing w:after="40"/>
            </w:pPr>
            <w:r/>
            <w:r>
              <w:rPr>
                <w:sz w:val="18"/>
              </w:rPr>
              <w:t>ADR-4</w:t>
            </w:r>
          </w:p>
        </w:tc>
        <w:tc>
          <w:tcPr>
            <w:tcW w:type="dxa" w:w="2664"/>
          </w:tcPr>
          <w:p>
            <w:pPr>
              <w:spacing w:after="40"/>
            </w:pPr>
            <w:r/>
            <w:r>
              <w:rPr>
                <w:sz w:val="18"/>
              </w:rPr>
              <w:t>Split inference (edge screen + cloud confirm)</w:t>
            </w:r>
          </w:p>
        </w:tc>
        <w:tc>
          <w:tcPr>
            <w:tcW w:type="dxa" w:w="6480"/>
          </w:tcPr>
          <w:p>
            <w:pPr>
              <w:spacing w:after="40"/>
            </w:pPr>
            <w:r/>
            <w:r>
              <w:rPr>
                <w:sz w:val="18"/>
              </w:rPr>
              <w:t>Cloud-only inference wastes bandwidth and the message quota; edge-only inference cannot host a high-capacity model. The cascade delivers edge latency with cloud accuracy.</w:t>
            </w:r>
          </w:p>
        </w:tc>
      </w:tr>
      <w:tr>
        <w:tc>
          <w:tcPr>
            <w:tcW w:type="dxa" w:w="792"/>
          </w:tcPr>
          <w:p>
            <w:pPr>
              <w:spacing w:after="40"/>
            </w:pPr>
            <w:r/>
            <w:r>
              <w:rPr>
                <w:sz w:val="18"/>
              </w:rPr>
              <w:t>ADR-5</w:t>
            </w:r>
          </w:p>
        </w:tc>
        <w:tc>
          <w:tcPr>
            <w:tcW w:type="dxa" w:w="2664"/>
          </w:tcPr>
          <w:p>
            <w:pPr>
              <w:spacing w:after="40"/>
            </w:pPr>
            <w:r/>
            <w:r>
              <w:rPr>
                <w:sz w:val="18"/>
              </w:rPr>
              <w:t>INT8 post-training quantisation to TFLite</w:t>
            </w:r>
          </w:p>
        </w:tc>
        <w:tc>
          <w:tcPr>
            <w:tcW w:type="dxa" w:w="6480"/>
          </w:tcPr>
          <w:p>
            <w:pPr>
              <w:spacing w:after="40"/>
            </w:pPr>
            <w:r/>
            <w:r>
              <w:rPr>
                <w:sz w:val="18"/>
              </w:rPr>
              <w:t>Roughly 4× smaller and 3× faster on an ARM CPU; the accuracy delta is measured and reported rather than assumed.</w:t>
            </w:r>
          </w:p>
        </w:tc>
      </w:tr>
      <w:tr>
        <w:tc>
          <w:tcPr>
            <w:tcW w:type="dxa" w:w="792"/>
          </w:tcPr>
          <w:p>
            <w:pPr>
              <w:spacing w:after="40"/>
            </w:pPr>
            <w:r/>
            <w:r>
              <w:rPr>
                <w:sz w:val="18"/>
              </w:rPr>
              <w:t>ADR-6</w:t>
            </w:r>
          </w:p>
        </w:tc>
        <w:tc>
          <w:tcPr>
            <w:tcW w:type="dxa" w:w="2664"/>
          </w:tcPr>
          <w:p>
            <w:pPr>
              <w:spacing w:after="40"/>
            </w:pPr>
            <w:r/>
            <w:r>
              <w:rPr>
                <w:sz w:val="18"/>
              </w:rPr>
              <w:t>S3 + CloudFront for the web app</w:t>
            </w:r>
          </w:p>
        </w:tc>
        <w:tc>
          <w:tcPr>
            <w:tcW w:type="dxa" w:w="6480"/>
          </w:tcPr>
          <w:p>
            <w:pPr>
              <w:spacing w:after="40"/>
            </w:pPr>
            <w:r/>
            <w:r>
              <w:rPr>
                <w:sz w:val="18"/>
              </w:rPr>
              <w:t>Cheapest and simplest; the Amplify Hosting free tier is limited to 12 months.</w:t>
            </w:r>
          </w:p>
        </w:tc>
      </w:tr>
      <w:tr>
        <w:tc>
          <w:tcPr>
            <w:tcW w:type="dxa" w:w="792"/>
          </w:tcPr>
          <w:p>
            <w:pPr>
              <w:spacing w:after="40"/>
            </w:pPr>
            <w:r/>
            <w:r>
              <w:rPr>
                <w:sz w:val="18"/>
              </w:rPr>
              <w:t>ADR-7</w:t>
            </w:r>
          </w:p>
        </w:tc>
        <w:tc>
          <w:tcPr>
            <w:tcW w:type="dxa" w:w="2664"/>
          </w:tcPr>
          <w:p>
            <w:pPr>
              <w:spacing w:after="40"/>
            </w:pPr>
            <w:r/>
            <w:r>
              <w:rPr>
                <w:sz w:val="18"/>
              </w:rPr>
              <w:t>30-day TTL on telemetry items</w:t>
            </w:r>
          </w:p>
        </w:tc>
        <w:tc>
          <w:tcPr>
            <w:tcW w:type="dxa" w:w="6480"/>
          </w:tcPr>
          <w:p>
            <w:pPr>
              <w:spacing w:after="40"/>
            </w:pPr>
            <w:r/>
            <w:r>
              <w:rPr>
                <w:sz w:val="18"/>
              </w:rPr>
              <w:t>Keeps DynamoDB inside the 25 GB always-free limit; older data is already archived in S3.</w:t>
            </w:r>
          </w:p>
        </w:tc>
      </w:tr>
      <w:tr>
        <w:tc>
          <w:tcPr>
            <w:tcW w:type="dxa" w:w="792"/>
          </w:tcPr>
          <w:p>
            <w:pPr>
              <w:spacing w:after="40"/>
            </w:pPr>
            <w:r/>
            <w:r>
              <w:rPr>
                <w:sz w:val="18"/>
              </w:rPr>
              <w:t>ADR-8</w:t>
            </w:r>
          </w:p>
        </w:tc>
        <w:tc>
          <w:tcPr>
            <w:tcW w:type="dxa" w:w="2664"/>
          </w:tcPr>
          <w:p>
            <w:pPr>
              <w:spacing w:after="40"/>
            </w:pPr>
            <w:r/>
            <w:r>
              <w:rPr>
                <w:sz w:val="18"/>
              </w:rPr>
              <w:t>No VPC for Lambda functions</w:t>
            </w:r>
          </w:p>
        </w:tc>
        <w:tc>
          <w:tcPr>
            <w:tcW w:type="dxa" w:w="6480"/>
          </w:tcPr>
          <w:p>
            <w:pPr>
              <w:spacing w:after="40"/>
            </w:pPr>
            <w:r/>
            <w:r>
              <w:rPr>
                <w:sz w:val="18"/>
              </w:rPr>
              <w:t>A NAT Gateway costs approximately $32 per month and is never free.</w:t>
            </w:r>
          </w:p>
        </w:tc>
      </w:tr>
    </w:tbl>
    <w:p>
      <w:pPr>
        <w:spacing w:after="80"/>
      </w:pPr>
    </w:p>
    <w:p>
      <w:pPr>
        <w:pStyle w:val="Heading2"/>
        <w:spacing w:before="200" w:after="120"/>
      </w:pPr>
      <w:r>
        <w:t>5.5  Non-functional requirements</w:t>
      </w:r>
    </w:p>
    <w:tbl>
      <w:tblPr>
        <w:tblStyle w:val="TableGrid"/>
        <w:tblW w:type="auto" w:w="0"/>
        <w:jc w:val="center"/>
        <w:tblLayout w:type="fixed"/>
        <w:tblLook w:firstColumn="1" w:firstRow="1" w:lastColumn="0" w:lastRow="0" w:noHBand="0" w:noVBand="1" w:val="04A0"/>
        <w:tblLayout w:type="fixed"/>
      </w:tblPr>
      <w:tblGrid>
        <w:gridCol w:w="2160"/>
        <w:gridCol w:w="3888"/>
        <w:gridCol w:w="3888"/>
      </w:tblGrid>
      <w:tr>
        <w:tc>
          <w:tcPr>
            <w:tcW w:type="dxa" w:w="2160"/>
            <w:shd w:val="clear" w:fill="D9E3F0"/>
          </w:tcPr>
          <w:p>
            <w:r/>
            <w:r>
              <w:rPr>
                <w:b/>
                <w:sz w:val="18"/>
              </w:rPr>
              <w:t>Requirement</w:t>
            </w:r>
          </w:p>
        </w:tc>
        <w:tc>
          <w:tcPr>
            <w:tcW w:type="dxa" w:w="3888"/>
            <w:shd w:val="clear" w:fill="D9E3F0"/>
          </w:tcPr>
          <w:p>
            <w:r/>
            <w:r>
              <w:rPr>
                <w:b/>
                <w:sz w:val="18"/>
              </w:rPr>
              <w:t>Target</w:t>
            </w:r>
          </w:p>
        </w:tc>
        <w:tc>
          <w:tcPr>
            <w:tcW w:type="dxa" w:w="3888"/>
            <w:shd w:val="clear" w:fill="D9E3F0"/>
          </w:tcPr>
          <w:p>
            <w:r/>
            <w:r>
              <w:rPr>
                <w:b/>
                <w:sz w:val="18"/>
              </w:rPr>
              <w:t>Verification</w:t>
            </w:r>
          </w:p>
        </w:tc>
      </w:tr>
      <w:tr>
        <w:tc>
          <w:tcPr>
            <w:tcW w:type="dxa" w:w="2160"/>
          </w:tcPr>
          <w:p>
            <w:pPr>
              <w:spacing w:after="40"/>
            </w:pPr>
            <w:r/>
            <w:r>
              <w:rPr>
                <w:sz w:val="18"/>
              </w:rPr>
              <w:t>End-to-end alert latency</w:t>
            </w:r>
          </w:p>
        </w:tc>
        <w:tc>
          <w:tcPr>
            <w:tcW w:type="dxa" w:w="3888"/>
          </w:tcPr>
          <w:p>
            <w:pPr>
              <w:spacing w:after="40"/>
            </w:pPr>
            <w:r/>
            <w:r>
              <w:rPr>
                <w:sz w:val="18"/>
              </w:rPr>
              <w:t>&lt; 5 s (p95) from sample to SNS publish</w:t>
            </w:r>
          </w:p>
        </w:tc>
        <w:tc>
          <w:tcPr>
            <w:tcW w:type="dxa" w:w="3888"/>
          </w:tcPr>
          <w:p>
            <w:pPr>
              <w:spacing w:after="40"/>
            </w:pPr>
            <w:r/>
            <w:r>
              <w:rPr>
                <w:sz w:val="18"/>
              </w:rPr>
              <w:t>AWS X-Ray traces and timestamp deltas</w:t>
            </w:r>
          </w:p>
        </w:tc>
      </w:tr>
      <w:tr>
        <w:tc>
          <w:tcPr>
            <w:tcW w:type="dxa" w:w="2160"/>
          </w:tcPr>
          <w:p>
            <w:pPr>
              <w:spacing w:after="40"/>
            </w:pPr>
            <w:r/>
            <w:r>
              <w:rPr>
                <w:sz w:val="18"/>
              </w:rPr>
              <w:t>Edge inference latency</w:t>
            </w:r>
          </w:p>
        </w:tc>
        <w:tc>
          <w:tcPr>
            <w:tcW w:type="dxa" w:w="3888"/>
          </w:tcPr>
          <w:p>
            <w:pPr>
              <w:spacing w:after="40"/>
            </w:pPr>
            <w:r/>
            <w:r>
              <w:rPr>
                <w:sz w:val="18"/>
              </w:rPr>
              <w:t>&lt; 50 ms per 10 s window on a Raspberry Pi 4</w:t>
            </w:r>
          </w:p>
        </w:tc>
        <w:tc>
          <w:tcPr>
            <w:tcW w:type="dxa" w:w="3888"/>
          </w:tcPr>
          <w:p>
            <w:pPr>
              <w:spacing w:after="40"/>
            </w:pPr>
            <w:r/>
            <w:r>
              <w:rPr>
                <w:sz w:val="18"/>
              </w:rPr>
              <w:t>On-device timing harness</w:t>
            </w:r>
          </w:p>
        </w:tc>
      </w:tr>
      <w:tr>
        <w:tc>
          <w:tcPr>
            <w:tcW w:type="dxa" w:w="2160"/>
          </w:tcPr>
          <w:p>
            <w:pPr>
              <w:spacing w:after="40"/>
            </w:pPr>
            <w:r/>
            <w:r>
              <w:rPr>
                <w:sz w:val="18"/>
              </w:rPr>
              <w:t>Ingestion throughput</w:t>
            </w:r>
          </w:p>
        </w:tc>
        <w:tc>
          <w:tcPr>
            <w:tcW w:type="dxa" w:w="3888"/>
          </w:tcPr>
          <w:p>
            <w:pPr>
              <w:spacing w:after="40"/>
            </w:pPr>
            <w:r/>
            <w:r>
              <w:rPr>
                <w:sz w:val="18"/>
              </w:rPr>
              <w:t>≥ 50 messages/second (50 simulated devices)</w:t>
            </w:r>
          </w:p>
        </w:tc>
        <w:tc>
          <w:tcPr>
            <w:tcW w:type="dxa" w:w="3888"/>
          </w:tcPr>
          <w:p>
            <w:pPr>
              <w:spacing w:after="40"/>
            </w:pPr>
            <w:r/>
            <w:r>
              <w:rPr>
                <w:sz w:val="18"/>
              </w:rPr>
              <w:t>Load test in tests/integration/</w:t>
            </w:r>
          </w:p>
        </w:tc>
      </w:tr>
      <w:tr>
        <w:tc>
          <w:tcPr>
            <w:tcW w:type="dxa" w:w="2160"/>
          </w:tcPr>
          <w:p>
            <w:pPr>
              <w:spacing w:after="40"/>
            </w:pPr>
            <w:r/>
            <w:r>
              <w:rPr>
                <w:sz w:val="18"/>
              </w:rPr>
              <w:t>Uplink reduction</w:t>
            </w:r>
          </w:p>
        </w:tc>
        <w:tc>
          <w:tcPr>
            <w:tcW w:type="dxa" w:w="3888"/>
          </w:tcPr>
          <w:p>
            <w:pPr>
              <w:spacing w:after="40"/>
            </w:pPr>
            <w:r/>
            <w:r>
              <w:rPr>
                <w:sz w:val="18"/>
              </w:rPr>
              <w:t>≥ 90 % versus stream-everything</w:t>
            </w:r>
          </w:p>
        </w:tc>
        <w:tc>
          <w:tcPr>
            <w:tcW w:type="dxa" w:w="3888"/>
          </w:tcPr>
          <w:p>
            <w:pPr>
              <w:spacing w:after="40"/>
            </w:pPr>
            <w:r/>
            <w:r>
              <w:rPr>
                <w:sz w:val="18"/>
              </w:rPr>
              <w:t>Byte counters instrumented in the simulator</w:t>
            </w:r>
          </w:p>
        </w:tc>
      </w:tr>
      <w:tr>
        <w:tc>
          <w:tcPr>
            <w:tcW w:type="dxa" w:w="2160"/>
          </w:tcPr>
          <w:p>
            <w:pPr>
              <w:spacing w:after="40"/>
            </w:pPr>
            <w:r/>
            <w:r>
              <w:rPr>
                <w:sz w:val="18"/>
              </w:rPr>
              <w:t>Offline resilience</w:t>
            </w:r>
          </w:p>
        </w:tc>
        <w:tc>
          <w:tcPr>
            <w:tcW w:type="dxa" w:w="3888"/>
          </w:tcPr>
          <w:p>
            <w:pPr>
              <w:spacing w:after="40"/>
            </w:pPr>
            <w:r/>
            <w:r>
              <w:rPr>
                <w:sz w:val="18"/>
              </w:rPr>
              <w:t>Buffer ≥ 6 hours of data</w:t>
            </w:r>
          </w:p>
        </w:tc>
        <w:tc>
          <w:tcPr>
            <w:tcW w:type="dxa" w:w="3888"/>
          </w:tcPr>
          <w:p>
            <w:pPr>
              <w:spacing w:after="40"/>
            </w:pPr>
            <w:r/>
            <w:r>
              <w:rPr>
                <w:sz w:val="18"/>
              </w:rPr>
              <w:t>Chaos test: disconnect the network and verify replay</w:t>
            </w:r>
          </w:p>
        </w:tc>
      </w:tr>
      <w:tr>
        <w:tc>
          <w:tcPr>
            <w:tcW w:type="dxa" w:w="2160"/>
          </w:tcPr>
          <w:p>
            <w:pPr>
              <w:spacing w:after="40"/>
            </w:pPr>
            <w:r/>
            <w:r>
              <w:rPr>
                <w:sz w:val="18"/>
              </w:rPr>
              <w:t>Monthly cost</w:t>
            </w:r>
          </w:p>
        </w:tc>
        <w:tc>
          <w:tcPr>
            <w:tcW w:type="dxa" w:w="3888"/>
          </w:tcPr>
          <w:p>
            <w:pPr>
              <w:spacing w:after="40"/>
            </w:pPr>
            <w:r/>
            <w:r>
              <w:rPr>
                <w:sz w:val="18"/>
              </w:rPr>
              <w:t>$0 within the Free Tier at demonstration scale</w:t>
            </w:r>
          </w:p>
        </w:tc>
        <w:tc>
          <w:tcPr>
            <w:tcW w:type="dxa" w:w="3888"/>
          </w:tcPr>
          <w:p>
            <w:pPr>
              <w:spacing w:after="40"/>
            </w:pPr>
            <w:r/>
            <w:r>
              <w:rPr>
                <w:sz w:val="18"/>
              </w:rPr>
              <w:t>AWS Cost Explorer</w:t>
            </w:r>
          </w:p>
        </w:tc>
      </w:tr>
      <w:tr>
        <w:tc>
          <w:tcPr>
            <w:tcW w:type="dxa" w:w="2160"/>
          </w:tcPr>
          <w:p>
            <w:pPr>
              <w:spacing w:after="40"/>
            </w:pPr>
            <w:r/>
            <w:r>
              <w:rPr>
                <w:sz w:val="18"/>
              </w:rPr>
              <w:t>Security</w:t>
            </w:r>
          </w:p>
        </w:tc>
        <w:tc>
          <w:tcPr>
            <w:tcW w:type="dxa" w:w="3888"/>
          </w:tcPr>
          <w:p>
            <w:pPr>
              <w:spacing w:after="40"/>
            </w:pPr>
            <w:r/>
            <w:r>
              <w:rPr>
                <w:sz w:val="18"/>
              </w:rPr>
              <w:t>TLS in transit, encryption at rest, least-privilege IAM, no secrets in the repository</w:t>
            </w:r>
          </w:p>
        </w:tc>
        <w:tc>
          <w:tcPr>
            <w:tcW w:type="dxa" w:w="3888"/>
          </w:tcPr>
          <w:p>
            <w:pPr>
              <w:spacing w:after="40"/>
            </w:pPr>
            <w:r/>
            <w:r>
              <w:rPr>
                <w:sz w:val="18"/>
              </w:rPr>
              <w:t>IAM policy review and automated secret scanning</w:t>
            </w:r>
          </w:p>
        </w:tc>
      </w:tr>
      <w:tr>
        <w:tc>
          <w:tcPr>
            <w:tcW w:type="dxa" w:w="2160"/>
          </w:tcPr>
          <w:p>
            <w:pPr>
              <w:spacing w:after="40"/>
            </w:pPr>
            <w:r/>
            <w:r>
              <w:rPr>
                <w:sz w:val="18"/>
              </w:rPr>
              <w:t>Privacy</w:t>
            </w:r>
          </w:p>
        </w:tc>
        <w:tc>
          <w:tcPr>
            <w:tcW w:type="dxa" w:w="3888"/>
          </w:tcPr>
          <w:p>
            <w:pPr>
              <w:spacing w:after="40"/>
            </w:pPr>
            <w:r/>
            <w:r>
              <w:rPr>
                <w:sz w:val="18"/>
              </w:rPr>
              <w:t>No personally identifying information in telemetry; opaque device IDs</w:t>
            </w:r>
          </w:p>
        </w:tc>
        <w:tc>
          <w:tcPr>
            <w:tcW w:type="dxa" w:w="3888"/>
          </w:tcPr>
          <w:p>
            <w:pPr>
              <w:spacing w:after="40"/>
            </w:pPr>
            <w:r/>
            <w:r>
              <w:rPr>
                <w:sz w:val="18"/>
              </w:rPr>
              <w:t>Schema review</w:t>
            </w:r>
          </w:p>
        </w:tc>
      </w:tr>
    </w:tbl>
    <w:p>
      <w:pPr>
        <w:spacing w:after="80"/>
      </w:pPr>
    </w:p>
    <w:p>
      <w:r>
        <w:br w:type="page"/>
      </w:r>
    </w:p>
    <w:p>
      <w:pPr>
        <w:pStyle w:val="Heading1"/>
        <w:spacing w:before="280" w:after="120"/>
      </w:pPr>
      <w:r>
        <w:t>6.  Technology Stack</w:t>
      </w:r>
    </w:p>
    <w:tbl>
      <w:tblPr>
        <w:tblStyle w:val="TableGrid"/>
        <w:tblW w:type="auto" w:w="0"/>
        <w:jc w:val="center"/>
        <w:tblLayout w:type="fixed"/>
        <w:tblLook w:firstColumn="1" w:firstRow="1" w:lastColumn="0" w:lastRow="0" w:noHBand="0" w:noVBand="1" w:val="04A0"/>
        <w:tblLayout w:type="fixed"/>
      </w:tblPr>
      <w:tblGrid>
        <w:gridCol w:w="1944"/>
        <w:gridCol w:w="3960"/>
        <w:gridCol w:w="4032"/>
      </w:tblGrid>
      <w:tr>
        <w:tc>
          <w:tcPr>
            <w:tcW w:type="dxa" w:w="1944"/>
            <w:shd w:val="clear" w:fill="D9E3F0"/>
          </w:tcPr>
          <w:p>
            <w:r/>
            <w:r>
              <w:rPr>
                <w:b/>
                <w:sz w:val="18"/>
              </w:rPr>
              <w:t>Layer</w:t>
            </w:r>
          </w:p>
        </w:tc>
        <w:tc>
          <w:tcPr>
            <w:tcW w:type="dxa" w:w="3960"/>
            <w:shd w:val="clear" w:fill="D9E3F0"/>
          </w:tcPr>
          <w:p>
            <w:r/>
            <w:r>
              <w:rPr>
                <w:b/>
                <w:sz w:val="18"/>
              </w:rPr>
              <w:t>Technology</w:t>
            </w:r>
          </w:p>
        </w:tc>
        <w:tc>
          <w:tcPr>
            <w:tcW w:type="dxa" w:w="4032"/>
            <w:shd w:val="clear" w:fill="D9E3F0"/>
          </w:tcPr>
          <w:p>
            <w:r/>
            <w:r>
              <w:rPr>
                <w:b/>
                <w:sz w:val="18"/>
              </w:rPr>
              <w:t>Notes</w:t>
            </w:r>
          </w:p>
        </w:tc>
      </w:tr>
      <w:tr>
        <w:tc>
          <w:tcPr>
            <w:tcW w:type="dxa" w:w="1944"/>
          </w:tcPr>
          <w:p>
            <w:pPr>
              <w:spacing w:after="40"/>
            </w:pPr>
            <w:r/>
            <w:r>
              <w:rPr>
                <w:sz w:val="18"/>
              </w:rPr>
              <w:t>Edge device</w:t>
            </w:r>
          </w:p>
        </w:tc>
        <w:tc>
          <w:tcPr>
            <w:tcW w:type="dxa" w:w="3960"/>
          </w:tcPr>
          <w:p>
            <w:pPr>
              <w:spacing w:after="40"/>
            </w:pPr>
            <w:r/>
            <w:r>
              <w:rPr>
                <w:sz w:val="18"/>
              </w:rPr>
              <w:t>Raspberry Pi 4 / Pi Zero 2 W, or a pure-Python simulator</w:t>
            </w:r>
          </w:p>
        </w:tc>
        <w:tc>
          <w:tcPr>
            <w:tcW w:type="dxa" w:w="4032"/>
          </w:tcPr>
          <w:p>
            <w:pPr>
              <w:spacing w:after="40"/>
            </w:pPr>
            <w:r/>
            <w:r>
              <w:rPr>
                <w:sz w:val="18"/>
              </w:rPr>
              <w:t>The simulator lets the project run with zero hardware</w:t>
            </w:r>
          </w:p>
        </w:tc>
      </w:tr>
      <w:tr>
        <w:tc>
          <w:tcPr>
            <w:tcW w:type="dxa" w:w="1944"/>
          </w:tcPr>
          <w:p>
            <w:pPr>
              <w:spacing w:after="40"/>
            </w:pPr>
            <w:r/>
            <w:r>
              <w:rPr>
                <w:sz w:val="18"/>
              </w:rPr>
              <w:t>Edge runtime</w:t>
            </w:r>
          </w:p>
        </w:tc>
        <w:tc>
          <w:tcPr>
            <w:tcW w:type="dxa" w:w="3960"/>
          </w:tcPr>
          <w:p>
            <w:pPr>
              <w:spacing w:after="40"/>
            </w:pPr>
            <w:r/>
            <w:r>
              <w:rPr>
                <w:sz w:val="18"/>
              </w:rPr>
              <w:t>Python 3.11, paho-mqtt, awsiotsdk, NumPy, SciPy</w:t>
            </w:r>
          </w:p>
        </w:tc>
        <w:tc>
          <w:tcPr>
            <w:tcW w:type="dxa" w:w="4032"/>
          </w:tcPr>
          <w:p>
            <w:pPr>
              <w:spacing w:after="40"/>
            </w:pPr>
            <w:r/>
            <w:r>
              <w:rPr>
                <w:sz w:val="18"/>
              </w:rPr>
            </w:r>
          </w:p>
        </w:tc>
      </w:tr>
      <w:tr>
        <w:tc>
          <w:tcPr>
            <w:tcW w:type="dxa" w:w="1944"/>
          </w:tcPr>
          <w:p>
            <w:pPr>
              <w:spacing w:after="40"/>
            </w:pPr>
            <w:r/>
            <w:r>
              <w:rPr>
                <w:sz w:val="18"/>
              </w:rPr>
              <w:t>Edge inference</w:t>
            </w:r>
          </w:p>
        </w:tc>
        <w:tc>
          <w:tcPr>
            <w:tcW w:type="dxa" w:w="3960"/>
          </w:tcPr>
          <w:p>
            <w:pPr>
              <w:spacing w:after="40"/>
            </w:pPr>
            <w:r/>
            <w:r>
              <w:rPr>
                <w:sz w:val="18"/>
              </w:rPr>
              <w:t>TensorFlow Lite runtime, INT8-quantised 1-D conv autoencoder</w:t>
            </w:r>
          </w:p>
        </w:tc>
        <w:tc>
          <w:tcPr>
            <w:tcW w:type="dxa" w:w="4032"/>
          </w:tcPr>
          <w:p>
            <w:pPr>
              <w:spacing w:after="40"/>
            </w:pPr>
            <w:r/>
            <w:r>
              <w:rPr>
                <w:sz w:val="18"/>
              </w:rPr>
              <w:t>Target size below 500 KB</w:t>
            </w:r>
          </w:p>
        </w:tc>
      </w:tr>
      <w:tr>
        <w:tc>
          <w:tcPr>
            <w:tcW w:type="dxa" w:w="1944"/>
          </w:tcPr>
          <w:p>
            <w:pPr>
              <w:spacing w:after="40"/>
            </w:pPr>
            <w:r/>
            <w:r>
              <w:rPr>
                <w:sz w:val="18"/>
              </w:rPr>
              <w:t>Ingestion</w:t>
            </w:r>
          </w:p>
        </w:tc>
        <w:tc>
          <w:tcPr>
            <w:tcW w:type="dxa" w:w="3960"/>
          </w:tcPr>
          <w:p>
            <w:pPr>
              <w:spacing w:after="40"/>
            </w:pPr>
            <w:r/>
            <w:r>
              <w:rPr>
                <w:sz w:val="18"/>
              </w:rPr>
              <w:t>AWS IoT Core (MQTT 3.1.1 over TLS 1.2), IoT Rules Engine</w:t>
            </w:r>
          </w:p>
        </w:tc>
        <w:tc>
          <w:tcPr>
            <w:tcW w:type="dxa" w:w="4032"/>
          </w:tcPr>
          <w:p>
            <w:pPr>
              <w:spacing w:after="40"/>
            </w:pPr>
            <w:r/>
            <w:r>
              <w:rPr>
                <w:sz w:val="18"/>
              </w:rPr>
              <w:t>250 000 messages/month free</w:t>
            </w:r>
          </w:p>
        </w:tc>
      </w:tr>
      <w:tr>
        <w:tc>
          <w:tcPr>
            <w:tcW w:type="dxa" w:w="1944"/>
          </w:tcPr>
          <w:p>
            <w:pPr>
              <w:spacing w:after="40"/>
            </w:pPr>
            <w:r/>
            <w:r>
              <w:rPr>
                <w:sz w:val="18"/>
              </w:rPr>
              <w:t>Compute</w:t>
            </w:r>
          </w:p>
        </w:tc>
        <w:tc>
          <w:tcPr>
            <w:tcW w:type="dxa" w:w="3960"/>
          </w:tcPr>
          <w:p>
            <w:pPr>
              <w:spacing w:after="40"/>
            </w:pPr>
            <w:r/>
            <w:r>
              <w:rPr>
                <w:sz w:val="18"/>
              </w:rPr>
              <w:t>AWS Lambda (Python 3.11), 128–512 MB</w:t>
            </w:r>
          </w:p>
        </w:tc>
        <w:tc>
          <w:tcPr>
            <w:tcW w:type="dxa" w:w="4032"/>
          </w:tcPr>
          <w:p>
            <w:pPr>
              <w:spacing w:after="40"/>
            </w:pPr>
            <w:r/>
            <w:r>
              <w:rPr>
                <w:sz w:val="18"/>
              </w:rPr>
              <w:t>Four functions</w:t>
            </w:r>
          </w:p>
        </w:tc>
      </w:tr>
      <w:tr>
        <w:tc>
          <w:tcPr>
            <w:tcW w:type="dxa" w:w="1944"/>
          </w:tcPr>
          <w:p>
            <w:pPr>
              <w:spacing w:after="40"/>
            </w:pPr>
            <w:r/>
            <w:r>
              <w:rPr>
                <w:sz w:val="18"/>
              </w:rPr>
              <w:t>Hot datastore</w:t>
            </w:r>
          </w:p>
        </w:tc>
        <w:tc>
          <w:tcPr>
            <w:tcW w:type="dxa" w:w="3960"/>
          </w:tcPr>
          <w:p>
            <w:pPr>
              <w:spacing w:after="40"/>
            </w:pPr>
            <w:r/>
            <w:r>
              <w:rPr>
                <w:sz w:val="18"/>
              </w:rPr>
              <w:t>Amazon DynamoDB (on-demand, TTL enabled)</w:t>
            </w:r>
          </w:p>
        </w:tc>
        <w:tc>
          <w:tcPr>
            <w:tcW w:type="dxa" w:w="4032"/>
          </w:tcPr>
          <w:p>
            <w:pPr>
              <w:spacing w:after="40"/>
            </w:pPr>
            <w:r/>
            <w:r>
              <w:rPr>
                <w:sz w:val="18"/>
              </w:rPr>
              <w:t>Three tables and one GSI; 25 GB always free</w:t>
            </w:r>
          </w:p>
        </w:tc>
      </w:tr>
      <w:tr>
        <w:tc>
          <w:tcPr>
            <w:tcW w:type="dxa" w:w="1944"/>
          </w:tcPr>
          <w:p>
            <w:pPr>
              <w:spacing w:after="40"/>
            </w:pPr>
            <w:r/>
            <w:r>
              <w:rPr>
                <w:sz w:val="18"/>
              </w:rPr>
              <w:t>Cold datastore</w:t>
            </w:r>
          </w:p>
        </w:tc>
        <w:tc>
          <w:tcPr>
            <w:tcW w:type="dxa" w:w="3960"/>
          </w:tcPr>
          <w:p>
            <w:pPr>
              <w:spacing w:after="40"/>
            </w:pPr>
            <w:r/>
            <w:r>
              <w:rPr>
                <w:sz w:val="18"/>
              </w:rPr>
              <w:t>Amazon S3 with a Standard → Infrequent Access lifecycle</w:t>
            </w:r>
          </w:p>
        </w:tc>
        <w:tc>
          <w:tcPr>
            <w:tcW w:type="dxa" w:w="4032"/>
          </w:tcPr>
          <w:p>
            <w:pPr>
              <w:spacing w:after="40"/>
            </w:pPr>
            <w:r/>
            <w:r>
              <w:rPr>
                <w:sz w:val="18"/>
              </w:rPr>
              <w:t>Raw windows and model artefacts</w:t>
            </w:r>
          </w:p>
        </w:tc>
      </w:tr>
      <w:tr>
        <w:tc>
          <w:tcPr>
            <w:tcW w:type="dxa" w:w="1944"/>
          </w:tcPr>
          <w:p>
            <w:pPr>
              <w:spacing w:after="40"/>
            </w:pPr>
            <w:r/>
            <w:r>
              <w:rPr>
                <w:sz w:val="18"/>
              </w:rPr>
              <w:t>API</w:t>
            </w:r>
          </w:p>
        </w:tc>
        <w:tc>
          <w:tcPr>
            <w:tcW w:type="dxa" w:w="3960"/>
          </w:tcPr>
          <w:p>
            <w:pPr>
              <w:spacing w:after="40"/>
            </w:pPr>
            <w:r/>
            <w:r>
              <w:rPr>
                <w:sz w:val="18"/>
              </w:rPr>
              <w:t>Amazon API Gateway HTTP API</w:t>
            </w:r>
          </w:p>
        </w:tc>
        <w:tc>
          <w:tcPr>
            <w:tcW w:type="dxa" w:w="4032"/>
          </w:tcPr>
          <w:p>
            <w:pPr>
              <w:spacing w:after="40"/>
            </w:pPr>
            <w:r/>
            <w:r>
              <w:rPr>
                <w:sz w:val="18"/>
              </w:rPr>
              <w:t>JWT authorizer</w:t>
            </w:r>
          </w:p>
        </w:tc>
      </w:tr>
      <w:tr>
        <w:tc>
          <w:tcPr>
            <w:tcW w:type="dxa" w:w="1944"/>
          </w:tcPr>
          <w:p>
            <w:pPr>
              <w:spacing w:after="40"/>
            </w:pPr>
            <w:r/>
            <w:r>
              <w:rPr>
                <w:sz w:val="18"/>
              </w:rPr>
              <w:t>Authentication</w:t>
            </w:r>
          </w:p>
        </w:tc>
        <w:tc>
          <w:tcPr>
            <w:tcW w:type="dxa" w:w="3960"/>
          </w:tcPr>
          <w:p>
            <w:pPr>
              <w:spacing w:after="40"/>
            </w:pPr>
            <w:r/>
            <w:r>
              <w:rPr>
                <w:sz w:val="18"/>
              </w:rPr>
              <w:t>Amazon Cognito user pool</w:t>
            </w:r>
          </w:p>
        </w:tc>
        <w:tc>
          <w:tcPr>
            <w:tcW w:type="dxa" w:w="4032"/>
          </w:tcPr>
          <w:p>
            <w:pPr>
              <w:spacing w:after="40"/>
            </w:pPr>
            <w:r/>
            <w:r>
              <w:rPr>
                <w:sz w:val="18"/>
              </w:rPr>
              <w:t>10 000 MAUs always free</w:t>
            </w:r>
          </w:p>
        </w:tc>
      </w:tr>
      <w:tr>
        <w:tc>
          <w:tcPr>
            <w:tcW w:type="dxa" w:w="1944"/>
          </w:tcPr>
          <w:p>
            <w:pPr>
              <w:spacing w:after="40"/>
            </w:pPr>
            <w:r/>
            <w:r>
              <w:rPr>
                <w:sz w:val="18"/>
              </w:rPr>
              <w:t>Notifications</w:t>
            </w:r>
          </w:p>
        </w:tc>
        <w:tc>
          <w:tcPr>
            <w:tcW w:type="dxa" w:w="3960"/>
          </w:tcPr>
          <w:p>
            <w:pPr>
              <w:spacing w:after="40"/>
            </w:pPr>
            <w:r/>
            <w:r>
              <w:rPr>
                <w:sz w:val="18"/>
              </w:rPr>
              <w:t>Amazon SNS</w:t>
            </w:r>
          </w:p>
        </w:tc>
        <w:tc>
          <w:tcPr>
            <w:tcW w:type="dxa" w:w="4032"/>
          </w:tcPr>
          <w:p>
            <w:pPr>
              <w:spacing w:after="40"/>
            </w:pPr>
            <w:r/>
            <w:r>
              <w:rPr>
                <w:sz w:val="18"/>
              </w:rPr>
              <w:t>Email and optional SMS</w:t>
            </w:r>
          </w:p>
        </w:tc>
      </w:tr>
      <w:tr>
        <w:tc>
          <w:tcPr>
            <w:tcW w:type="dxa" w:w="1944"/>
          </w:tcPr>
          <w:p>
            <w:pPr>
              <w:spacing w:after="40"/>
            </w:pPr>
            <w:r/>
            <w:r>
              <w:rPr>
                <w:sz w:val="18"/>
              </w:rPr>
              <w:t>Observability</w:t>
            </w:r>
          </w:p>
        </w:tc>
        <w:tc>
          <w:tcPr>
            <w:tcW w:type="dxa" w:w="3960"/>
          </w:tcPr>
          <w:p>
            <w:pPr>
              <w:spacing w:after="40"/>
            </w:pPr>
            <w:r/>
            <w:r>
              <w:rPr>
                <w:sz w:val="18"/>
              </w:rPr>
              <w:t>Amazon CloudWatch Logs, Metrics and Alarms; AWS X-Ray</w:t>
            </w:r>
          </w:p>
        </w:tc>
        <w:tc>
          <w:tcPr>
            <w:tcW w:type="dxa" w:w="4032"/>
          </w:tcPr>
          <w:p>
            <w:pPr>
              <w:spacing w:after="40"/>
            </w:pPr>
            <w:r/>
            <w:r>
              <w:rPr>
                <w:sz w:val="18"/>
              </w:rPr>
              <w:t>7-day log retention to stay within the free tier</w:t>
            </w:r>
          </w:p>
        </w:tc>
      </w:tr>
      <w:tr>
        <w:tc>
          <w:tcPr>
            <w:tcW w:type="dxa" w:w="1944"/>
          </w:tcPr>
          <w:p>
            <w:pPr>
              <w:spacing w:after="40"/>
            </w:pPr>
            <w:r/>
            <w:r>
              <w:rPr>
                <w:sz w:val="18"/>
              </w:rPr>
              <w:t>Infrastructure as code</w:t>
            </w:r>
          </w:p>
        </w:tc>
        <w:tc>
          <w:tcPr>
            <w:tcW w:type="dxa" w:w="3960"/>
          </w:tcPr>
          <w:p>
            <w:pPr>
              <w:spacing w:after="40"/>
            </w:pPr>
            <w:r/>
            <w:r>
              <w:rPr>
                <w:sz w:val="18"/>
              </w:rPr>
              <w:t>AWS SAM / CloudFormation (YAML)</w:t>
            </w:r>
          </w:p>
        </w:tc>
        <w:tc>
          <w:tcPr>
            <w:tcW w:type="dxa" w:w="4032"/>
          </w:tcPr>
          <w:p>
            <w:pPr>
              <w:spacing w:after="40"/>
            </w:pPr>
            <w:r/>
            <w:r>
              <w:rPr>
                <w:sz w:val="18"/>
              </w:rPr>
              <w:t>One-command deploy</w:t>
            </w:r>
          </w:p>
        </w:tc>
      </w:tr>
      <w:tr>
        <w:tc>
          <w:tcPr>
            <w:tcW w:type="dxa" w:w="1944"/>
          </w:tcPr>
          <w:p>
            <w:pPr>
              <w:spacing w:after="40"/>
            </w:pPr>
            <w:r/>
            <w:r>
              <w:rPr>
                <w:sz w:val="18"/>
              </w:rPr>
              <w:t>CI/CD</w:t>
            </w:r>
          </w:p>
        </w:tc>
        <w:tc>
          <w:tcPr>
            <w:tcW w:type="dxa" w:w="3960"/>
          </w:tcPr>
          <w:p>
            <w:pPr>
              <w:spacing w:after="40"/>
            </w:pPr>
            <w:r/>
            <w:r>
              <w:rPr>
                <w:sz w:val="18"/>
              </w:rPr>
              <w:t>GitHub Actions → sam deploy</w:t>
            </w:r>
          </w:p>
        </w:tc>
        <w:tc>
          <w:tcPr>
            <w:tcW w:type="dxa" w:w="4032"/>
          </w:tcPr>
          <w:p>
            <w:pPr>
              <w:spacing w:after="40"/>
            </w:pPr>
            <w:r/>
            <w:r>
              <w:rPr>
                <w:sz w:val="18"/>
              </w:rPr>
              <w:t>OIDC role assumption; no long-lived access keys</w:t>
            </w:r>
          </w:p>
        </w:tc>
      </w:tr>
      <w:tr>
        <w:tc>
          <w:tcPr>
            <w:tcW w:type="dxa" w:w="1944"/>
          </w:tcPr>
          <w:p>
            <w:pPr>
              <w:spacing w:after="40"/>
            </w:pPr>
            <w:r/>
            <w:r>
              <w:rPr>
                <w:sz w:val="18"/>
              </w:rPr>
              <w:t>Model training</w:t>
            </w:r>
          </w:p>
        </w:tc>
        <w:tc>
          <w:tcPr>
            <w:tcW w:type="dxa" w:w="3960"/>
          </w:tcPr>
          <w:p>
            <w:pPr>
              <w:spacing w:after="40"/>
            </w:pPr>
            <w:r/>
            <w:r>
              <w:rPr>
                <w:sz w:val="18"/>
              </w:rPr>
              <w:t>Python 3.11, TensorFlow/Keras, scikit-learn, Jupyter</w:t>
            </w:r>
          </w:p>
        </w:tc>
        <w:tc>
          <w:tcPr>
            <w:tcW w:type="dxa" w:w="4032"/>
          </w:tcPr>
          <w:p>
            <w:pPr>
              <w:spacing w:after="40"/>
            </w:pPr>
            <w:r/>
            <w:r>
              <w:rPr>
                <w:sz w:val="18"/>
              </w:rPr>
              <w:t>Google Colab or SageMaker Studio Lab (free)</w:t>
            </w:r>
          </w:p>
        </w:tc>
      </w:tr>
      <w:tr>
        <w:tc>
          <w:tcPr>
            <w:tcW w:type="dxa" w:w="1944"/>
          </w:tcPr>
          <w:p>
            <w:pPr>
              <w:spacing w:after="40"/>
            </w:pPr>
            <w:r/>
            <w:r>
              <w:rPr>
                <w:sz w:val="18"/>
              </w:rPr>
              <w:t>Frontend</w:t>
            </w:r>
          </w:p>
        </w:tc>
        <w:tc>
          <w:tcPr>
            <w:tcW w:type="dxa" w:w="3960"/>
          </w:tcPr>
          <w:p>
            <w:pPr>
              <w:spacing w:after="40"/>
            </w:pPr>
            <w:r/>
            <w:r>
              <w:rPr>
                <w:sz w:val="18"/>
              </w:rPr>
              <w:t>React 18 + Vite, Recharts, AWS Amplify Auth</w:t>
            </w:r>
          </w:p>
        </w:tc>
        <w:tc>
          <w:tcPr>
            <w:tcW w:type="dxa" w:w="4032"/>
          </w:tcPr>
          <w:p>
            <w:pPr>
              <w:spacing w:after="40"/>
            </w:pPr>
            <w:r/>
            <w:r>
              <w:rPr>
                <w:sz w:val="18"/>
              </w:rPr>
            </w:r>
          </w:p>
        </w:tc>
      </w:tr>
      <w:tr>
        <w:tc>
          <w:tcPr>
            <w:tcW w:type="dxa" w:w="1944"/>
          </w:tcPr>
          <w:p>
            <w:pPr>
              <w:spacing w:after="40"/>
            </w:pPr>
            <w:r/>
            <w:r>
              <w:rPr>
                <w:sz w:val="18"/>
              </w:rPr>
              <w:t>Web hosting</w:t>
            </w:r>
          </w:p>
        </w:tc>
        <w:tc>
          <w:tcPr>
            <w:tcW w:type="dxa" w:w="3960"/>
          </w:tcPr>
          <w:p>
            <w:pPr>
              <w:spacing w:after="40"/>
            </w:pPr>
            <w:r/>
            <w:r>
              <w:rPr>
                <w:sz w:val="18"/>
              </w:rPr>
              <w:t>Amazon S3 static website + CloudFront</w:t>
            </w:r>
          </w:p>
        </w:tc>
        <w:tc>
          <w:tcPr>
            <w:tcW w:type="dxa" w:w="4032"/>
          </w:tcPr>
          <w:p>
            <w:pPr>
              <w:spacing w:after="40"/>
            </w:pPr>
            <w:r/>
            <w:r>
              <w:rPr>
                <w:sz w:val="18"/>
              </w:rPr>
              <w:t>1 TB egress free</w:t>
            </w:r>
          </w:p>
        </w:tc>
      </w:tr>
      <w:tr>
        <w:tc>
          <w:tcPr>
            <w:tcW w:type="dxa" w:w="1944"/>
          </w:tcPr>
          <w:p>
            <w:pPr>
              <w:spacing w:after="40"/>
            </w:pPr>
            <w:r/>
            <w:r>
              <w:rPr>
                <w:sz w:val="18"/>
              </w:rPr>
              <w:t>Testing</w:t>
            </w:r>
          </w:p>
        </w:tc>
        <w:tc>
          <w:tcPr>
            <w:tcW w:type="dxa" w:w="3960"/>
          </w:tcPr>
          <w:p>
            <w:pPr>
              <w:spacing w:after="40"/>
            </w:pPr>
            <w:r/>
            <w:r>
              <w:rPr>
                <w:sz w:val="18"/>
              </w:rPr>
              <w:t>pytest, moto (AWS mocks), Vitest</w:t>
            </w:r>
          </w:p>
        </w:tc>
        <w:tc>
          <w:tcPr>
            <w:tcW w:type="dxa" w:w="4032"/>
          </w:tcPr>
          <w:p>
            <w:pPr>
              <w:spacing w:after="40"/>
            </w:pPr>
            <w:r/>
            <w:r>
              <w:rPr>
                <w:sz w:val="18"/>
              </w:rPr>
            </w:r>
          </w:p>
        </w:tc>
      </w:tr>
    </w:tbl>
    <w:p>
      <w:pPr>
        <w:spacing w:after="80"/>
      </w:pPr>
    </w:p>
    <w:p>
      <w:pPr>
        <w:pStyle w:val="Heading2"/>
        <w:spacing w:before="200" w:after="120"/>
      </w:pPr>
      <w:r>
        <w:t>6.1  Free Tier budget</w:t>
      </w:r>
    </w:p>
    <w:p>
      <w:pPr>
        <w:spacing w:after="120"/>
      </w:pPr>
      <w:r>
        <w:rPr>
          <w:b w:val="0"/>
          <w:i w:val="0"/>
        </w:rPr>
        <w:t>The entire cloud tier is designed to run at zero cost. The binding constraint is the AWS IoT Core message quota, and the edge summarisation policy is what makes the project fit within it: at one message per second per device, five devices would consume roughly 13 million messages per month — fifty times over the limit. At one summary every ten seconds, five devices consume approximately 130 000.</w:t>
      </w:r>
    </w:p>
    <w:tbl>
      <w:tblPr>
        <w:tblStyle w:val="TableGrid"/>
        <w:tblW w:type="auto" w:w="0"/>
        <w:jc w:val="center"/>
        <w:tblLayout w:type="fixed"/>
        <w:tblLook w:firstColumn="1" w:firstRow="1" w:lastColumn="0" w:lastRow="0" w:noHBand="0" w:noVBand="1" w:val="04A0"/>
        <w:tblLayout w:type="fixed"/>
      </w:tblPr>
      <w:tblGrid>
        <w:gridCol w:w="1872"/>
        <w:gridCol w:w="3024"/>
        <w:gridCol w:w="1440"/>
        <w:gridCol w:w="3600"/>
      </w:tblGrid>
      <w:tr>
        <w:tc>
          <w:tcPr>
            <w:tcW w:type="dxa" w:w="1872"/>
            <w:shd w:val="clear" w:fill="D9E3F0"/>
          </w:tcPr>
          <w:p>
            <w:r/>
            <w:r>
              <w:rPr>
                <w:b/>
                <w:sz w:val="18"/>
              </w:rPr>
              <w:t>Service</w:t>
            </w:r>
          </w:p>
        </w:tc>
        <w:tc>
          <w:tcPr>
            <w:tcW w:type="dxa" w:w="3024"/>
            <w:shd w:val="clear" w:fill="D9E3F0"/>
          </w:tcPr>
          <w:p>
            <w:r/>
            <w:r>
              <w:rPr>
                <w:b/>
                <w:sz w:val="18"/>
              </w:rPr>
              <w:t>Free Tier allowance</w:t>
            </w:r>
          </w:p>
        </w:tc>
        <w:tc>
          <w:tcPr>
            <w:tcW w:type="dxa" w:w="1440"/>
            <w:shd w:val="clear" w:fill="D9E3F0"/>
          </w:tcPr>
          <w:p>
            <w:r/>
            <w:r>
              <w:rPr>
                <w:b/>
                <w:sz w:val="18"/>
              </w:rPr>
              <w:t>Type</w:t>
            </w:r>
          </w:p>
        </w:tc>
        <w:tc>
          <w:tcPr>
            <w:tcW w:type="dxa" w:w="3600"/>
            <w:shd w:val="clear" w:fill="D9E3F0"/>
          </w:tcPr>
          <w:p>
            <w:r/>
            <w:r>
              <w:rPr>
                <w:b/>
                <w:sz w:val="18"/>
              </w:rPr>
              <w:t>Planned usage</w:t>
            </w:r>
          </w:p>
        </w:tc>
      </w:tr>
      <w:tr>
        <w:tc>
          <w:tcPr>
            <w:tcW w:type="dxa" w:w="1872"/>
          </w:tcPr>
          <w:p>
            <w:pPr>
              <w:spacing w:after="40"/>
            </w:pPr>
            <w:r/>
            <w:r>
              <w:rPr>
                <w:sz w:val="18"/>
              </w:rPr>
              <w:t>AWS IoT Core</w:t>
            </w:r>
          </w:p>
        </w:tc>
        <w:tc>
          <w:tcPr>
            <w:tcW w:type="dxa" w:w="3024"/>
          </w:tcPr>
          <w:p>
            <w:pPr>
              <w:spacing w:after="40"/>
            </w:pPr>
            <w:r/>
            <w:r>
              <w:rPr>
                <w:sz w:val="18"/>
              </w:rPr>
              <w:t>250 000 messages/month</w:t>
            </w:r>
          </w:p>
        </w:tc>
        <w:tc>
          <w:tcPr>
            <w:tcW w:type="dxa" w:w="1440"/>
          </w:tcPr>
          <w:p>
            <w:pPr>
              <w:spacing w:after="40"/>
            </w:pPr>
            <w:r/>
            <w:r>
              <w:rPr>
                <w:sz w:val="18"/>
              </w:rPr>
              <w:t>12 months</w:t>
            </w:r>
          </w:p>
        </w:tc>
        <w:tc>
          <w:tcPr>
            <w:tcW w:type="dxa" w:w="3600"/>
          </w:tcPr>
          <w:p>
            <w:pPr>
              <w:spacing w:after="40"/>
            </w:pPr>
            <w:r/>
            <w:r>
              <w:rPr>
                <w:sz w:val="18"/>
              </w:rPr>
              <w:t>≈ 130 000 (≈ 48 % used)</w:t>
            </w:r>
          </w:p>
        </w:tc>
      </w:tr>
      <w:tr>
        <w:tc>
          <w:tcPr>
            <w:tcW w:type="dxa" w:w="1872"/>
          </w:tcPr>
          <w:p>
            <w:pPr>
              <w:spacing w:after="40"/>
            </w:pPr>
            <w:r/>
            <w:r>
              <w:rPr>
                <w:sz w:val="18"/>
              </w:rPr>
              <w:t>AWS Lambda</w:t>
            </w:r>
          </w:p>
        </w:tc>
        <w:tc>
          <w:tcPr>
            <w:tcW w:type="dxa" w:w="3024"/>
          </w:tcPr>
          <w:p>
            <w:pPr>
              <w:spacing w:after="40"/>
            </w:pPr>
            <w:r/>
            <w:r>
              <w:rPr>
                <w:sz w:val="18"/>
              </w:rPr>
              <w:t>1 M requests + 400 000 GB-s/month</w:t>
            </w:r>
          </w:p>
        </w:tc>
        <w:tc>
          <w:tcPr>
            <w:tcW w:type="dxa" w:w="1440"/>
          </w:tcPr>
          <w:p>
            <w:pPr>
              <w:spacing w:after="40"/>
            </w:pPr>
            <w:r/>
            <w:r>
              <w:rPr>
                <w:sz w:val="18"/>
              </w:rPr>
              <w:t>Always free</w:t>
            </w:r>
          </w:p>
        </w:tc>
        <w:tc>
          <w:tcPr>
            <w:tcW w:type="dxa" w:w="3600"/>
          </w:tcPr>
          <w:p>
            <w:pPr>
              <w:spacing w:after="40"/>
            </w:pPr>
            <w:r/>
            <w:r>
              <w:rPr>
                <w:sz w:val="18"/>
              </w:rPr>
              <w:t>≈ 200 000 invocations (&lt; 5 %)</w:t>
            </w:r>
          </w:p>
        </w:tc>
      </w:tr>
      <w:tr>
        <w:tc>
          <w:tcPr>
            <w:tcW w:type="dxa" w:w="1872"/>
          </w:tcPr>
          <w:p>
            <w:pPr>
              <w:spacing w:after="40"/>
            </w:pPr>
            <w:r/>
            <w:r>
              <w:rPr>
                <w:sz w:val="18"/>
              </w:rPr>
              <w:t>DynamoDB</w:t>
            </w:r>
          </w:p>
        </w:tc>
        <w:tc>
          <w:tcPr>
            <w:tcW w:type="dxa" w:w="3024"/>
          </w:tcPr>
          <w:p>
            <w:pPr>
              <w:spacing w:after="40"/>
            </w:pPr>
            <w:r/>
            <w:r>
              <w:rPr>
                <w:sz w:val="18"/>
              </w:rPr>
              <w:t>25 GB storage, 25 WCU + 25 RCU</w:t>
            </w:r>
          </w:p>
        </w:tc>
        <w:tc>
          <w:tcPr>
            <w:tcW w:type="dxa" w:w="1440"/>
          </w:tcPr>
          <w:p>
            <w:pPr>
              <w:spacing w:after="40"/>
            </w:pPr>
            <w:r/>
            <w:r>
              <w:rPr>
                <w:sz w:val="18"/>
              </w:rPr>
              <w:t>Always free</w:t>
            </w:r>
          </w:p>
        </w:tc>
        <w:tc>
          <w:tcPr>
            <w:tcW w:type="dxa" w:w="3600"/>
          </w:tcPr>
          <w:p>
            <w:pPr>
              <w:spacing w:after="40"/>
            </w:pPr>
            <w:r/>
            <w:r>
              <w:rPr>
                <w:sz w:val="18"/>
              </w:rPr>
              <w:t>≈ 2 GB with a 30-day TTL</w:t>
            </w:r>
          </w:p>
        </w:tc>
      </w:tr>
      <w:tr>
        <w:tc>
          <w:tcPr>
            <w:tcW w:type="dxa" w:w="1872"/>
          </w:tcPr>
          <w:p>
            <w:pPr>
              <w:spacing w:after="40"/>
            </w:pPr>
            <w:r/>
            <w:r>
              <w:rPr>
                <w:sz w:val="18"/>
              </w:rPr>
              <w:t>Amazon S3</w:t>
            </w:r>
          </w:p>
        </w:tc>
        <w:tc>
          <w:tcPr>
            <w:tcW w:type="dxa" w:w="3024"/>
          </w:tcPr>
          <w:p>
            <w:pPr>
              <w:spacing w:after="40"/>
            </w:pPr>
            <w:r/>
            <w:r>
              <w:rPr>
                <w:sz w:val="18"/>
              </w:rPr>
              <w:t>5 GB, 20 000 GET, 2 000 PUT/month</w:t>
            </w:r>
          </w:p>
        </w:tc>
        <w:tc>
          <w:tcPr>
            <w:tcW w:type="dxa" w:w="1440"/>
          </w:tcPr>
          <w:p>
            <w:pPr>
              <w:spacing w:after="40"/>
            </w:pPr>
            <w:r/>
            <w:r>
              <w:rPr>
                <w:sz w:val="18"/>
              </w:rPr>
              <w:t>12 months</w:t>
            </w:r>
          </w:p>
        </w:tc>
        <w:tc>
          <w:tcPr>
            <w:tcW w:type="dxa" w:w="3600"/>
          </w:tcPr>
          <w:p>
            <w:pPr>
              <w:spacing w:after="40"/>
            </w:pPr>
            <w:r/>
            <w:r>
              <w:rPr>
                <w:sz w:val="18"/>
              </w:rPr>
              <w:t>≈ 1 GB</w:t>
            </w:r>
          </w:p>
        </w:tc>
      </w:tr>
      <w:tr>
        <w:tc>
          <w:tcPr>
            <w:tcW w:type="dxa" w:w="1872"/>
          </w:tcPr>
          <w:p>
            <w:pPr>
              <w:spacing w:after="40"/>
            </w:pPr>
            <w:r/>
            <w:r>
              <w:rPr>
                <w:sz w:val="18"/>
              </w:rPr>
              <w:t>API Gateway</w:t>
            </w:r>
          </w:p>
        </w:tc>
        <w:tc>
          <w:tcPr>
            <w:tcW w:type="dxa" w:w="3024"/>
          </w:tcPr>
          <w:p>
            <w:pPr>
              <w:spacing w:after="40"/>
            </w:pPr>
            <w:r/>
            <w:r>
              <w:rPr>
                <w:sz w:val="18"/>
              </w:rPr>
              <w:t>1 M requests/month</w:t>
            </w:r>
          </w:p>
        </w:tc>
        <w:tc>
          <w:tcPr>
            <w:tcW w:type="dxa" w:w="1440"/>
          </w:tcPr>
          <w:p>
            <w:pPr>
              <w:spacing w:after="40"/>
            </w:pPr>
            <w:r/>
            <w:r>
              <w:rPr>
                <w:sz w:val="18"/>
              </w:rPr>
              <w:t>12 months</w:t>
            </w:r>
          </w:p>
        </w:tc>
        <w:tc>
          <w:tcPr>
            <w:tcW w:type="dxa" w:w="3600"/>
          </w:tcPr>
          <w:p>
            <w:pPr>
              <w:spacing w:after="40"/>
            </w:pPr>
            <w:r/>
            <w:r>
              <w:rPr>
                <w:sz w:val="18"/>
              </w:rPr>
              <w:t>≈ 50 000</w:t>
            </w:r>
          </w:p>
        </w:tc>
      </w:tr>
      <w:tr>
        <w:tc>
          <w:tcPr>
            <w:tcW w:type="dxa" w:w="1872"/>
          </w:tcPr>
          <w:p>
            <w:pPr>
              <w:spacing w:after="40"/>
            </w:pPr>
            <w:r/>
            <w:r>
              <w:rPr>
                <w:sz w:val="18"/>
              </w:rPr>
              <w:t>Amazon Cognito</w:t>
            </w:r>
          </w:p>
        </w:tc>
        <w:tc>
          <w:tcPr>
            <w:tcW w:type="dxa" w:w="3024"/>
          </w:tcPr>
          <w:p>
            <w:pPr>
              <w:spacing w:after="40"/>
            </w:pPr>
            <w:r/>
            <w:r>
              <w:rPr>
                <w:sz w:val="18"/>
              </w:rPr>
              <w:t>10 000 monthly active users</w:t>
            </w:r>
          </w:p>
        </w:tc>
        <w:tc>
          <w:tcPr>
            <w:tcW w:type="dxa" w:w="1440"/>
          </w:tcPr>
          <w:p>
            <w:pPr>
              <w:spacing w:after="40"/>
            </w:pPr>
            <w:r/>
            <w:r>
              <w:rPr>
                <w:sz w:val="18"/>
              </w:rPr>
              <w:t>Always free</w:t>
            </w:r>
          </w:p>
        </w:tc>
        <w:tc>
          <w:tcPr>
            <w:tcW w:type="dxa" w:w="3600"/>
          </w:tcPr>
          <w:p>
            <w:pPr>
              <w:spacing w:after="40"/>
            </w:pPr>
            <w:r/>
            <w:r>
              <w:rPr>
                <w:sz w:val="18"/>
              </w:rPr>
              <w:t>&lt; 10 users</w:t>
            </w:r>
          </w:p>
        </w:tc>
      </w:tr>
      <w:tr>
        <w:tc>
          <w:tcPr>
            <w:tcW w:type="dxa" w:w="1872"/>
          </w:tcPr>
          <w:p>
            <w:pPr>
              <w:spacing w:after="40"/>
            </w:pPr>
            <w:r/>
            <w:r>
              <w:rPr>
                <w:sz w:val="18"/>
              </w:rPr>
              <w:t>Amazon SNS</w:t>
            </w:r>
          </w:p>
        </w:tc>
        <w:tc>
          <w:tcPr>
            <w:tcW w:type="dxa" w:w="3024"/>
          </w:tcPr>
          <w:p>
            <w:pPr>
              <w:spacing w:after="40"/>
            </w:pPr>
            <w:r/>
            <w:r>
              <w:rPr>
                <w:sz w:val="18"/>
              </w:rPr>
              <w:t>1 000 email notifications/month</w:t>
            </w:r>
          </w:p>
        </w:tc>
        <w:tc>
          <w:tcPr>
            <w:tcW w:type="dxa" w:w="1440"/>
          </w:tcPr>
          <w:p>
            <w:pPr>
              <w:spacing w:after="40"/>
            </w:pPr>
            <w:r/>
            <w:r>
              <w:rPr>
                <w:sz w:val="18"/>
              </w:rPr>
              <w:t>Always free</w:t>
            </w:r>
          </w:p>
        </w:tc>
        <w:tc>
          <w:tcPr>
            <w:tcW w:type="dxa" w:w="3600"/>
          </w:tcPr>
          <w:p>
            <w:pPr>
              <w:spacing w:after="40"/>
            </w:pPr>
            <w:r/>
            <w:r>
              <w:rPr>
                <w:sz w:val="18"/>
              </w:rPr>
              <w:t>&lt; 500 alerts</w:t>
            </w:r>
          </w:p>
        </w:tc>
      </w:tr>
      <w:tr>
        <w:tc>
          <w:tcPr>
            <w:tcW w:type="dxa" w:w="1872"/>
          </w:tcPr>
          <w:p>
            <w:pPr>
              <w:spacing w:after="40"/>
            </w:pPr>
            <w:r/>
            <w:r>
              <w:rPr>
                <w:sz w:val="18"/>
              </w:rPr>
              <w:t>CloudWatch</w:t>
            </w:r>
          </w:p>
        </w:tc>
        <w:tc>
          <w:tcPr>
            <w:tcW w:type="dxa" w:w="3024"/>
          </w:tcPr>
          <w:p>
            <w:pPr>
              <w:spacing w:after="40"/>
            </w:pPr>
            <w:r/>
            <w:r>
              <w:rPr>
                <w:sz w:val="18"/>
              </w:rPr>
              <w:t>5 GB log ingestion, 10 alarms</w:t>
            </w:r>
          </w:p>
        </w:tc>
        <w:tc>
          <w:tcPr>
            <w:tcW w:type="dxa" w:w="1440"/>
          </w:tcPr>
          <w:p>
            <w:pPr>
              <w:spacing w:after="40"/>
            </w:pPr>
            <w:r/>
            <w:r>
              <w:rPr>
                <w:sz w:val="18"/>
              </w:rPr>
              <w:t>Always free</w:t>
            </w:r>
          </w:p>
        </w:tc>
        <w:tc>
          <w:tcPr>
            <w:tcW w:type="dxa" w:w="3600"/>
          </w:tcPr>
          <w:p>
            <w:pPr>
              <w:spacing w:after="40"/>
            </w:pPr>
            <w:r/>
            <w:r>
              <w:rPr>
                <w:sz w:val="18"/>
              </w:rPr>
              <w:t>Constrained by 7-day retention</w:t>
            </w:r>
          </w:p>
        </w:tc>
      </w:tr>
      <w:tr>
        <w:tc>
          <w:tcPr>
            <w:tcW w:type="dxa" w:w="1872"/>
          </w:tcPr>
          <w:p>
            <w:pPr>
              <w:spacing w:after="40"/>
            </w:pPr>
            <w:r/>
            <w:r>
              <w:rPr>
                <w:sz w:val="18"/>
              </w:rPr>
              <w:t>CloudFront</w:t>
            </w:r>
          </w:p>
        </w:tc>
        <w:tc>
          <w:tcPr>
            <w:tcW w:type="dxa" w:w="3024"/>
          </w:tcPr>
          <w:p>
            <w:pPr>
              <w:spacing w:after="40"/>
            </w:pPr>
            <w:r/>
            <w:r>
              <w:rPr>
                <w:sz w:val="18"/>
              </w:rPr>
              <w:t>1 TB egress/month</w:t>
            </w:r>
          </w:p>
        </w:tc>
        <w:tc>
          <w:tcPr>
            <w:tcW w:type="dxa" w:w="1440"/>
          </w:tcPr>
          <w:p>
            <w:pPr>
              <w:spacing w:after="40"/>
            </w:pPr>
            <w:r/>
            <w:r>
              <w:rPr>
                <w:sz w:val="18"/>
              </w:rPr>
              <w:t>Always free</w:t>
            </w:r>
          </w:p>
        </w:tc>
        <w:tc>
          <w:tcPr>
            <w:tcW w:type="dxa" w:w="3600"/>
          </w:tcPr>
          <w:p>
            <w:pPr>
              <w:spacing w:after="40"/>
            </w:pPr>
            <w:r/>
            <w:r>
              <w:rPr>
                <w:sz w:val="18"/>
              </w:rPr>
              <w:t>&lt; 1 GB</w:t>
            </w:r>
          </w:p>
        </w:tc>
      </w:tr>
    </w:tbl>
    <w:p>
      <w:pPr>
        <w:spacing w:after="80"/>
      </w:pPr>
    </w:p>
    <w:p>
      <w:pPr>
        <w:spacing w:after="120"/>
      </w:pPr>
      <w:r>
        <w:rPr>
          <w:b w:val="0"/>
          <w:i w:val="0"/>
          <w:color w:val="5B6672"/>
          <w:sz w:val="20"/>
        </w:rPr>
        <w:t>Services deliberately avoided because they lack a usable free tier: Amazon Timestream, Kinesis Data Streams, SageMaker real-time endpoints, Amazon RDS, NAT Gateway, Amazon MSK and OpenSearch.</w:t>
      </w:r>
    </w:p>
    <w:p>
      <w:r>
        <w:br w:type="page"/>
      </w:r>
    </w:p>
    <w:p>
      <w:pPr>
        <w:pStyle w:val="Heading1"/>
        <w:spacing w:before="280" w:after="120"/>
      </w:pPr>
      <w:r>
        <w:t>7.  Dataset Details</w:t>
      </w:r>
    </w:p>
    <w:p>
      <w:pPr>
        <w:spacing w:after="120"/>
      </w:pPr>
      <w:r>
        <w:rPr>
          <w:b w:val="0"/>
          <w:i w:val="0"/>
        </w:rPr>
        <w:t>All datasets are publicly released and de-identified. This project collects no new human-subject data, and raw data is not committed to the repository.</w:t>
      </w:r>
    </w:p>
    <w:tbl>
      <w:tblPr>
        <w:tblStyle w:val="TableGrid"/>
        <w:tblW w:type="auto" w:w="0"/>
        <w:jc w:val="center"/>
        <w:tblLayout w:type="fixed"/>
        <w:tblLook w:firstColumn="1" w:firstRow="1" w:lastColumn="0" w:lastRow="0" w:noHBand="0" w:noVBand="1" w:val="04A0"/>
        <w:tblLayout w:type="fixed"/>
      </w:tblPr>
      <w:tblGrid>
        <w:gridCol w:w="1944"/>
        <w:gridCol w:w="1656"/>
        <w:gridCol w:w="3456"/>
        <w:gridCol w:w="2880"/>
      </w:tblGrid>
      <w:tr>
        <w:tc>
          <w:tcPr>
            <w:tcW w:type="dxa" w:w="1944"/>
            <w:shd w:val="clear" w:fill="D9E3F0"/>
          </w:tcPr>
          <w:p>
            <w:r/>
            <w:r>
              <w:rPr>
                <w:b/>
                <w:sz w:val="18"/>
              </w:rPr>
              <w:t>Dataset</w:t>
            </w:r>
          </w:p>
        </w:tc>
        <w:tc>
          <w:tcPr>
            <w:tcW w:type="dxa" w:w="1656"/>
            <w:shd w:val="clear" w:fill="D9E3F0"/>
          </w:tcPr>
          <w:p>
            <w:r/>
            <w:r>
              <w:rPr>
                <w:b/>
                <w:sz w:val="18"/>
              </w:rPr>
              <w:t>Source</w:t>
            </w:r>
          </w:p>
        </w:tc>
        <w:tc>
          <w:tcPr>
            <w:tcW w:type="dxa" w:w="3456"/>
            <w:shd w:val="clear" w:fill="D9E3F0"/>
          </w:tcPr>
          <w:p>
            <w:r/>
            <w:r>
              <w:rPr>
                <w:b/>
                <w:sz w:val="18"/>
              </w:rPr>
              <w:t>Contents</w:t>
            </w:r>
          </w:p>
        </w:tc>
        <w:tc>
          <w:tcPr>
            <w:tcW w:type="dxa" w:w="2880"/>
            <w:shd w:val="clear" w:fill="D9E3F0"/>
          </w:tcPr>
          <w:p>
            <w:r/>
            <w:r>
              <w:rPr>
                <w:b/>
                <w:sz w:val="18"/>
              </w:rPr>
              <w:t>Used for</w:t>
            </w:r>
          </w:p>
        </w:tc>
      </w:tr>
      <w:tr>
        <w:tc>
          <w:tcPr>
            <w:tcW w:type="dxa" w:w="1944"/>
          </w:tcPr>
          <w:p>
            <w:pPr>
              <w:spacing w:after="40"/>
            </w:pPr>
            <w:r/>
            <w:r>
              <w:rPr>
                <w:sz w:val="18"/>
              </w:rPr>
              <w:t>MIT-BIH Arrhythmia (primary)</w:t>
            </w:r>
          </w:p>
        </w:tc>
        <w:tc>
          <w:tcPr>
            <w:tcW w:type="dxa" w:w="1656"/>
          </w:tcPr>
          <w:p>
            <w:pPr>
              <w:spacing w:after="40"/>
            </w:pPr>
            <w:r/>
            <w:r>
              <w:rPr>
                <w:sz w:val="18"/>
              </w:rPr>
              <w:t>PhysioNet</w:t>
            </w:r>
          </w:p>
        </w:tc>
        <w:tc>
          <w:tcPr>
            <w:tcW w:type="dxa" w:w="3456"/>
          </w:tcPr>
          <w:p>
            <w:pPr>
              <w:spacing w:after="40"/>
            </w:pPr>
            <w:r/>
            <w:r>
              <w:rPr>
                <w:sz w:val="18"/>
              </w:rPr>
              <w:t>48 half-hour two-channel ambulatory ECG records, 360 Hz, 47 subjects, beat-level cardiologist annotations (~110 000 beats)</w:t>
            </w:r>
          </w:p>
        </w:tc>
        <w:tc>
          <w:tcPr>
            <w:tcW w:type="dxa" w:w="2880"/>
          </w:tcPr>
          <w:p>
            <w:pPr>
              <w:spacing w:after="40"/>
            </w:pPr>
            <w:r/>
            <w:r>
              <w:rPr>
                <w:sz w:val="18"/>
              </w:rPr>
              <w:t>Training the autoencoder on normal beats; anomaly-detection evaluation</w:t>
            </w:r>
          </w:p>
        </w:tc>
      </w:tr>
      <w:tr>
        <w:tc>
          <w:tcPr>
            <w:tcW w:type="dxa" w:w="1944"/>
          </w:tcPr>
          <w:p>
            <w:pPr>
              <w:spacing w:after="40"/>
            </w:pPr>
            <w:r/>
            <w:r>
              <w:rPr>
                <w:sz w:val="18"/>
              </w:rPr>
              <w:t>PTB-XL</w:t>
            </w:r>
          </w:p>
        </w:tc>
        <w:tc>
          <w:tcPr>
            <w:tcW w:type="dxa" w:w="1656"/>
          </w:tcPr>
          <w:p>
            <w:pPr>
              <w:spacing w:after="40"/>
            </w:pPr>
            <w:r/>
            <w:r>
              <w:rPr>
                <w:sz w:val="18"/>
              </w:rPr>
              <w:t>PhysioNet</w:t>
            </w:r>
          </w:p>
        </w:tc>
        <w:tc>
          <w:tcPr>
            <w:tcW w:type="dxa" w:w="3456"/>
          </w:tcPr>
          <w:p>
            <w:pPr>
              <w:spacing w:after="40"/>
            </w:pPr>
            <w:r/>
            <w:r>
              <w:rPr>
                <w:sz w:val="18"/>
              </w:rPr>
              <w:t>21 837 clinical 12-lead ECGs, 10 s each, 100/500 Hz, multi-label diagnoses</w:t>
            </w:r>
          </w:p>
        </w:tc>
        <w:tc>
          <w:tcPr>
            <w:tcW w:type="dxa" w:w="2880"/>
          </w:tcPr>
          <w:p>
            <w:pPr>
              <w:spacing w:after="40"/>
            </w:pPr>
            <w:r/>
            <w:r>
              <w:rPr>
                <w:sz w:val="18"/>
              </w:rPr>
              <w:t>Generalisation check — does the model transfer?</w:t>
            </w:r>
          </w:p>
        </w:tc>
      </w:tr>
      <w:tr>
        <w:tc>
          <w:tcPr>
            <w:tcW w:type="dxa" w:w="1944"/>
          </w:tcPr>
          <w:p>
            <w:pPr>
              <w:spacing w:after="40"/>
            </w:pPr>
            <w:r/>
            <w:r>
              <w:rPr>
                <w:sz w:val="18"/>
              </w:rPr>
              <w:t>WESAD</w:t>
            </w:r>
          </w:p>
        </w:tc>
        <w:tc>
          <w:tcPr>
            <w:tcW w:type="dxa" w:w="1656"/>
          </w:tcPr>
          <w:p>
            <w:pPr>
              <w:spacing w:after="40"/>
            </w:pPr>
            <w:r/>
            <w:r>
              <w:rPr>
                <w:sz w:val="18"/>
              </w:rPr>
              <w:t>UCI ML Repository</w:t>
            </w:r>
          </w:p>
        </w:tc>
        <w:tc>
          <w:tcPr>
            <w:tcW w:type="dxa" w:w="3456"/>
          </w:tcPr>
          <w:p>
            <w:pPr>
              <w:spacing w:after="40"/>
            </w:pPr>
            <w:r/>
            <w:r>
              <w:rPr>
                <w:sz w:val="18"/>
              </w:rPr>
              <w:t>15 subjects; chest (ECG, EDA, TEMP, RESP, ACC) and wrist (BVP, EDA, TEMP, ACC)</w:t>
            </w:r>
          </w:p>
        </w:tc>
        <w:tc>
          <w:tcPr>
            <w:tcW w:type="dxa" w:w="2880"/>
          </w:tcPr>
          <w:p>
            <w:pPr>
              <w:spacing w:after="40"/>
            </w:pPr>
            <w:r/>
            <w:r>
              <w:rPr>
                <w:sz w:val="18"/>
              </w:rPr>
              <w:t>Realistic wearable-grade noisy signals; multimodal fusion</w:t>
            </w:r>
          </w:p>
        </w:tc>
      </w:tr>
      <w:tr>
        <w:tc>
          <w:tcPr>
            <w:tcW w:type="dxa" w:w="1944"/>
          </w:tcPr>
          <w:p>
            <w:pPr>
              <w:spacing w:after="40"/>
            </w:pPr>
            <w:r/>
            <w:r>
              <w:rPr>
                <w:sz w:val="18"/>
              </w:rPr>
              <w:t>MHEALTH</w:t>
            </w:r>
          </w:p>
        </w:tc>
        <w:tc>
          <w:tcPr>
            <w:tcW w:type="dxa" w:w="1656"/>
          </w:tcPr>
          <w:p>
            <w:pPr>
              <w:spacing w:after="40"/>
            </w:pPr>
            <w:r/>
            <w:r>
              <w:rPr>
                <w:sz w:val="18"/>
              </w:rPr>
              <w:t>UCI ML Repository</w:t>
            </w:r>
          </w:p>
        </w:tc>
        <w:tc>
          <w:tcPr>
            <w:tcW w:type="dxa" w:w="3456"/>
          </w:tcPr>
          <w:p>
            <w:pPr>
              <w:spacing w:after="40"/>
            </w:pPr>
            <w:r/>
            <w:r>
              <w:rPr>
                <w:sz w:val="18"/>
              </w:rPr>
              <w:t>10 subjects, 23 channels, 12 physical activities</w:t>
            </w:r>
          </w:p>
        </w:tc>
        <w:tc>
          <w:tcPr>
            <w:tcW w:type="dxa" w:w="2880"/>
          </w:tcPr>
          <w:p>
            <w:pPr>
              <w:spacing w:after="40"/>
            </w:pPr>
            <w:r/>
            <w:r>
              <w:rPr>
                <w:sz w:val="18"/>
              </w:rPr>
              <w:t>Activity context, to suppress motion-artefact false positives (RQ5)</w:t>
            </w:r>
          </w:p>
        </w:tc>
      </w:tr>
      <w:tr>
        <w:tc>
          <w:tcPr>
            <w:tcW w:type="dxa" w:w="1944"/>
          </w:tcPr>
          <w:p>
            <w:pPr>
              <w:spacing w:after="40"/>
            </w:pPr>
            <w:r/>
            <w:r>
              <w:rPr>
                <w:sz w:val="18"/>
              </w:rPr>
              <w:t>Synthetic stream</w:t>
            </w:r>
          </w:p>
        </w:tc>
        <w:tc>
          <w:tcPr>
            <w:tcW w:type="dxa" w:w="1656"/>
          </w:tcPr>
          <w:p>
            <w:pPr>
              <w:spacing w:after="40"/>
            </w:pPr>
            <w:r/>
            <w:r>
              <w:rPr>
                <w:sz w:val="18"/>
              </w:rPr>
              <w:t>Generated in-repo (edge/simulator/)</w:t>
            </w:r>
          </w:p>
        </w:tc>
        <w:tc>
          <w:tcPr>
            <w:tcW w:type="dxa" w:w="3456"/>
          </w:tcPr>
          <w:p>
            <w:pPr>
              <w:spacing w:after="40"/>
            </w:pPr>
            <w:r/>
            <w:r>
              <w:rPr>
                <w:sz w:val="18"/>
              </w:rPr>
              <w:t>Configurable physiologically-shaped ECG across six profiles</w:t>
            </w:r>
          </w:p>
        </w:tc>
        <w:tc>
          <w:tcPr>
            <w:tcW w:type="dxa" w:w="2880"/>
          </w:tcPr>
          <w:p>
            <w:pPr>
              <w:spacing w:after="40"/>
            </w:pPr>
            <w:r/>
            <w:r>
              <w:rPr>
                <w:sz w:val="18"/>
              </w:rPr>
              <w:t>Load testing, elasticity demonstration, live demo</w:t>
            </w:r>
          </w:p>
        </w:tc>
      </w:tr>
    </w:tbl>
    <w:p>
      <w:pPr>
        <w:spacing w:after="80"/>
      </w:pPr>
    </w:p>
    <w:p>
      <w:pPr>
        <w:pStyle w:val="Heading2"/>
        <w:spacing w:before="200" w:after="120"/>
      </w:pPr>
      <w:r>
        <w:t>7.1  Preprocessing contract</w:t>
      </w:r>
    </w:p>
    <w:p>
      <w:pPr>
        <w:spacing w:after="120"/>
      </w:pPr>
      <w:r>
        <w:rPr>
          <w:b w:val="0"/>
          <w:i w:val="0"/>
        </w:rPr>
        <w:t>Every dataset is normalised to a common window format before training.</w:t>
      </w:r>
    </w:p>
    <w:tbl>
      <w:tblPr>
        <w:tblStyle w:val="TableGrid"/>
        <w:tblW w:type="auto" w:w="0"/>
        <w:jc w:val="center"/>
        <w:tblLayout w:type="fixed"/>
        <w:tblLook w:firstColumn="1" w:firstRow="1" w:lastColumn="0" w:lastRow="0" w:noHBand="0" w:noVBand="1" w:val="04A0"/>
        <w:tblLayout w:type="fixed"/>
      </w:tblPr>
      <w:tblGrid>
        <w:gridCol w:w="2304"/>
        <w:gridCol w:w="7632"/>
      </w:tblGrid>
      <w:tr>
        <w:tc>
          <w:tcPr>
            <w:tcW w:type="dxa" w:w="2304"/>
            <w:shd w:val="clear" w:fill="D9E3F0"/>
          </w:tcPr>
          <w:p>
            <w:r/>
            <w:r>
              <w:rPr>
                <w:b/>
                <w:sz w:val="19"/>
              </w:rPr>
              <w:t>Property</w:t>
            </w:r>
          </w:p>
        </w:tc>
        <w:tc>
          <w:tcPr>
            <w:tcW w:type="dxa" w:w="7632"/>
            <w:shd w:val="clear" w:fill="D9E3F0"/>
          </w:tcPr>
          <w:p>
            <w:r/>
            <w:r>
              <w:rPr>
                <w:b/>
                <w:sz w:val="19"/>
              </w:rPr>
              <w:t>Value</w:t>
            </w:r>
          </w:p>
        </w:tc>
      </w:tr>
      <w:tr>
        <w:tc>
          <w:tcPr>
            <w:tcW w:type="dxa" w:w="2304"/>
          </w:tcPr>
          <w:p>
            <w:pPr>
              <w:spacing w:after="40"/>
            </w:pPr>
            <w:r/>
            <w:r>
              <w:rPr>
                <w:sz w:val="19"/>
              </w:rPr>
              <w:t>Signal</w:t>
            </w:r>
          </w:p>
        </w:tc>
        <w:tc>
          <w:tcPr>
            <w:tcW w:type="dxa" w:w="7632"/>
          </w:tcPr>
          <w:p>
            <w:pPr>
              <w:spacing w:after="40"/>
            </w:pPr>
            <w:r/>
            <w:r>
              <w:rPr>
                <w:sz w:val="19"/>
              </w:rPr>
              <w:t>Single-lead ECG (lead II or nearest equivalent)</w:t>
            </w:r>
          </w:p>
        </w:tc>
      </w:tr>
      <w:tr>
        <w:tc>
          <w:tcPr>
            <w:tcW w:type="dxa" w:w="2304"/>
          </w:tcPr>
          <w:p>
            <w:pPr>
              <w:spacing w:after="40"/>
            </w:pPr>
            <w:r/>
            <w:r>
              <w:rPr>
                <w:sz w:val="19"/>
              </w:rPr>
              <w:t>Filter</w:t>
            </w:r>
          </w:p>
        </w:tc>
        <w:tc>
          <w:tcPr>
            <w:tcW w:type="dxa" w:w="7632"/>
          </w:tcPr>
          <w:p>
            <w:pPr>
              <w:spacing w:after="40"/>
            </w:pPr>
            <w:r/>
            <w:r>
              <w:rPr>
                <w:sz w:val="19"/>
              </w:rPr>
              <w:t>Butterworth bandpass, 0.5–40 Hz, zero-phase</w:t>
            </w:r>
          </w:p>
        </w:tc>
      </w:tr>
      <w:tr>
        <w:tc>
          <w:tcPr>
            <w:tcW w:type="dxa" w:w="2304"/>
          </w:tcPr>
          <w:p>
            <w:pPr>
              <w:spacing w:after="40"/>
            </w:pPr>
            <w:r/>
            <w:r>
              <w:rPr>
                <w:sz w:val="19"/>
              </w:rPr>
              <w:t>Resampling</w:t>
            </w:r>
          </w:p>
        </w:tc>
        <w:tc>
          <w:tcPr>
            <w:tcW w:type="dxa" w:w="7632"/>
          </w:tcPr>
          <w:p>
            <w:pPr>
              <w:spacing w:after="40"/>
            </w:pPr>
            <w:r/>
            <w:r>
              <w:rPr>
                <w:sz w:val="19"/>
              </w:rPr>
              <w:t>125 Hz</w:t>
            </w:r>
          </w:p>
        </w:tc>
      </w:tr>
      <w:tr>
        <w:tc>
          <w:tcPr>
            <w:tcW w:type="dxa" w:w="2304"/>
          </w:tcPr>
          <w:p>
            <w:pPr>
              <w:spacing w:after="40"/>
            </w:pPr>
            <w:r/>
            <w:r>
              <w:rPr>
                <w:sz w:val="19"/>
              </w:rPr>
              <w:t>Window</w:t>
            </w:r>
          </w:p>
        </w:tc>
        <w:tc>
          <w:tcPr>
            <w:tcW w:type="dxa" w:w="7632"/>
          </w:tcPr>
          <w:p>
            <w:pPr>
              <w:spacing w:after="40"/>
            </w:pPr>
            <w:r/>
            <w:r>
              <w:rPr>
                <w:sz w:val="19"/>
              </w:rPr>
              <w:t>10 seconds (1 250 samples), 50 % overlap</w:t>
            </w:r>
          </w:p>
        </w:tc>
      </w:tr>
      <w:tr>
        <w:tc>
          <w:tcPr>
            <w:tcW w:type="dxa" w:w="2304"/>
          </w:tcPr>
          <w:p>
            <w:pPr>
              <w:spacing w:after="40"/>
            </w:pPr>
            <w:r/>
            <w:r>
              <w:rPr>
                <w:sz w:val="19"/>
              </w:rPr>
              <w:t>Normalisation</w:t>
            </w:r>
          </w:p>
        </w:tc>
        <w:tc>
          <w:tcPr>
            <w:tcW w:type="dxa" w:w="7632"/>
          </w:tcPr>
          <w:p>
            <w:pPr>
              <w:spacing w:after="40"/>
            </w:pPr>
            <w:r/>
            <w:r>
              <w:rPr>
                <w:sz w:val="19"/>
              </w:rPr>
              <w:t>Per-record z-score, fitted on that record only</w:t>
            </w:r>
          </w:p>
        </w:tc>
      </w:tr>
      <w:tr>
        <w:tc>
          <w:tcPr>
            <w:tcW w:type="dxa" w:w="2304"/>
          </w:tcPr>
          <w:p>
            <w:pPr>
              <w:spacing w:after="40"/>
            </w:pPr>
            <w:r/>
            <w:r>
              <w:rPr>
                <w:sz w:val="19"/>
              </w:rPr>
              <w:t>Auxiliary features</w:t>
            </w:r>
          </w:p>
        </w:tc>
        <w:tc>
          <w:tcPr>
            <w:tcW w:type="dxa" w:w="7632"/>
          </w:tcPr>
          <w:p>
            <w:pPr>
              <w:spacing w:after="40"/>
            </w:pPr>
            <w:r/>
            <w:r>
              <w:rPr>
                <w:sz w:val="19"/>
              </w:rPr>
              <w:t>HR mean/min/max, SDNN, SpO₂, temperature, activity class</w:t>
            </w:r>
          </w:p>
        </w:tc>
      </w:tr>
      <w:tr>
        <w:tc>
          <w:tcPr>
            <w:tcW w:type="dxa" w:w="2304"/>
          </w:tcPr>
          <w:p>
            <w:pPr>
              <w:spacing w:after="40"/>
            </w:pPr>
            <w:r/>
            <w:r>
              <w:rPr>
                <w:sz w:val="19"/>
              </w:rPr>
              <w:t>Label</w:t>
            </w:r>
          </w:p>
        </w:tc>
        <w:tc>
          <w:tcPr>
            <w:tcW w:type="dxa" w:w="7632"/>
          </w:tcPr>
          <w:p>
            <w:pPr>
              <w:spacing w:after="40"/>
            </w:pPr>
            <w:r/>
            <w:r>
              <w:rPr>
                <w:sz w:val="19"/>
              </w:rPr>
              <w:t>0 = normal, 1 = anomalous (any non-normal annotated beat in the window)</w:t>
            </w:r>
          </w:p>
        </w:tc>
      </w:tr>
      <w:tr>
        <w:tc>
          <w:tcPr>
            <w:tcW w:type="dxa" w:w="2304"/>
          </w:tcPr>
          <w:p>
            <w:pPr>
              <w:spacing w:after="40"/>
            </w:pPr>
            <w:r/>
            <w:r>
              <w:rPr>
                <w:sz w:val="19"/>
              </w:rPr>
              <w:t>Split</w:t>
            </w:r>
          </w:p>
        </w:tc>
        <w:tc>
          <w:tcPr>
            <w:tcW w:type="dxa" w:w="7632"/>
          </w:tcPr>
          <w:p>
            <w:pPr>
              <w:spacing w:after="40"/>
            </w:pPr>
            <w:r/>
            <w:r>
              <w:rPr>
                <w:sz w:val="19"/>
              </w:rPr>
              <w:t>Subject-disjoint 70/15/15 — no subject appears in two splits</w:t>
            </w:r>
          </w:p>
        </w:tc>
      </w:tr>
    </w:tbl>
    <w:p>
      <w:pPr>
        <w:spacing w:after="80"/>
      </w:pPr>
    </w:p>
    <w:p>
      <w:pPr>
        <w:spacing w:after="120"/>
      </w:pPr>
      <w:r>
        <w:rPr>
          <w:b w:val="0"/>
          <w:i/>
          <w:color w:val="5B6672"/>
          <w:sz w:val="20"/>
        </w:rPr>
        <w:t>Subject-disjoint splitting is treated as non-negotiable: splitting by window would leak recordings between training and test sets and inflate every reported metric.</w:t>
      </w:r>
    </w:p>
    <w:p>
      <w:r>
        <w:br w:type="page"/>
      </w:r>
    </w:p>
    <w:p>
      <w:pPr>
        <w:pStyle w:val="Heading1"/>
        <w:spacing w:before="280" w:after="120"/>
      </w:pPr>
      <w:r>
        <w:t>8.  Repository Structure</w:t>
      </w:r>
    </w:p>
    <w:p>
      <w:pPr>
        <w:spacing w:after="120"/>
      </w:pPr>
      <w:r>
        <w:rPr>
          <w:b w:val="0"/>
          <w:i w:val="0"/>
        </w:rPr>
        <w:t>Every folder contains a README describing its purpose, so no directory is empty and the intent of each area is documented.</w:t>
      </w:r>
    </w:p>
    <w:p>
      <w:pPr>
        <w:spacing w:after="200"/>
        <w:ind w:left="360"/>
      </w:pPr>
      <w:r>
        <w:rPr>
          <w:rFonts w:ascii="Consolas" w:hAnsi="Consolas"/>
          <w:sz w:val="17"/>
        </w:rPr>
        <w:t>edge-cloud-wearable-health-analytics/</w:t>
        <w:br/>
        <w:t>├── README.md                     Project overview (title, team, problem, objectives,</w:t>
        <w:br/>
        <w:t>│                                 architecture, tech stack, dataset details)</w:t>
        <w:br/>
        <w:t>├── CONTRIBUTING.md               Team conventions, branching, hard rules</w:t>
        <w:br/>
        <w:t>├── LICENSE                       MIT</w:t>
        <w:br/>
        <w:t>├── docs/</w:t>
        <w:br/>
        <w:t>│   ├── WORK_DISTRIBUTION.md      Per-member responsibilities, timeline, ledger</w:t>
        <w:br/>
        <w:t>│   ├── architecture/             Design document, API contract, Mermaid diagrams</w:t>
        <w:br/>
        <w:t>│   ├── literature-survey/        Survey, research gap, BibTeX references</w:t>
        <w:br/>
        <w:t>│   ├── aws/                      Free Tier budget, IAM and security notes</w:t>
        <w:br/>
        <w:t>│   └── setup/                    Deployment runbook and troubleshooting</w:t>
        <w:br/>
        <w:t>├── edge/                         Edge tier: simulator, TFLite inference, uplink policy</w:t>
        <w:br/>
        <w:t>├── backend/                      Four AWS Lambda functions, shared layer, API spec</w:t>
        <w:br/>
        <w:t>├── ai-models/                    Notebooks, training scripts, model artefacts</w:t>
        <w:br/>
        <w:t>├── frontend/                     React dashboard (components, pages, services)</w:t>
        <w:br/>
        <w:t>├── database/                     DynamoDB schemas, access patterns, seed data</w:t>
        <w:br/>
        <w:t>├── infrastructure/               CloudFormation/SAM templates and deploy scripts</w:t>
        <w:br/>
        <w:t>├── dataset/                      Dataset acquisition and preprocessing documentation</w:t>
        <w:br/>
        <w:t>├── results/                      Benchmarks, figures, evaluation reports</w:t>
        <w:br/>
        <w:t>├── presentation/                 Slides, demo script, report</w:t>
        <w:br/>
        <w:t>├── tests/                        Unit and integration tests</w:t>
        <w:br/>
        <w:t>└── .github/workflows/            CI pipeline</w:t>
      </w:r>
    </w:p>
    <w:tbl>
      <w:tblPr>
        <w:tblStyle w:val="TableGrid"/>
        <w:tblW w:type="auto" w:w="0"/>
        <w:jc w:val="center"/>
        <w:tblLayout w:type="fixed"/>
        <w:tblLook w:firstColumn="1" w:firstRow="1" w:lastColumn="0" w:lastRow="0" w:noHBand="0" w:noVBand="1" w:val="04A0"/>
        <w:tblLayout w:type="fixed"/>
      </w:tblPr>
      <w:tblGrid>
        <w:gridCol w:w="1872"/>
        <w:gridCol w:w="5904"/>
        <w:gridCol w:w="2160"/>
      </w:tblGrid>
      <w:tr>
        <w:tc>
          <w:tcPr>
            <w:tcW w:type="dxa" w:w="1872"/>
            <w:shd w:val="clear" w:fill="D9E3F0"/>
          </w:tcPr>
          <w:p>
            <w:r/>
            <w:r>
              <w:rPr>
                <w:b/>
                <w:sz w:val="18"/>
              </w:rPr>
              <w:t>Folder</w:t>
            </w:r>
          </w:p>
        </w:tc>
        <w:tc>
          <w:tcPr>
            <w:tcW w:type="dxa" w:w="5904"/>
            <w:shd w:val="clear" w:fill="D9E3F0"/>
          </w:tcPr>
          <w:p>
            <w:r/>
            <w:r>
              <w:rPr>
                <w:b/>
                <w:sz w:val="18"/>
              </w:rPr>
              <w:t>Purpose</w:t>
            </w:r>
          </w:p>
        </w:tc>
        <w:tc>
          <w:tcPr>
            <w:tcW w:type="dxa" w:w="2160"/>
            <w:shd w:val="clear" w:fill="D9E3F0"/>
          </w:tcPr>
          <w:p>
            <w:r/>
            <w:r>
              <w:rPr>
                <w:b/>
                <w:sz w:val="18"/>
              </w:rPr>
              <w:t>Owner</w:t>
            </w:r>
          </w:p>
        </w:tc>
      </w:tr>
      <w:tr>
        <w:tc>
          <w:tcPr>
            <w:tcW w:type="dxa" w:w="1872"/>
          </w:tcPr>
          <w:p>
            <w:pPr>
              <w:spacing w:after="40"/>
            </w:pPr>
            <w:r/>
            <w:r>
              <w:rPr>
                <w:sz w:val="18"/>
              </w:rPr>
              <w:t>edge/</w:t>
            </w:r>
          </w:p>
        </w:tc>
        <w:tc>
          <w:tcPr>
            <w:tcW w:type="dxa" w:w="5904"/>
          </w:tcPr>
          <w:p>
            <w:pPr>
              <w:spacing w:after="40"/>
            </w:pPr>
            <w:r/>
            <w:r>
              <w:rPr>
                <w:sz w:val="18"/>
              </w:rPr>
              <w:t>Signal conditioning, on-device inference, uplink policy, offline buffer</w:t>
            </w:r>
          </w:p>
        </w:tc>
        <w:tc>
          <w:tcPr>
            <w:tcW w:type="dxa" w:w="2160"/>
          </w:tcPr>
          <w:p>
            <w:pPr>
              <w:spacing w:after="40"/>
            </w:pPr>
            <w:r/>
            <w:r>
              <w:rPr>
                <w:sz w:val="18"/>
              </w:rPr>
              <w:t>Monis Raza</w:t>
            </w:r>
          </w:p>
        </w:tc>
      </w:tr>
      <w:tr>
        <w:tc>
          <w:tcPr>
            <w:tcW w:type="dxa" w:w="1872"/>
          </w:tcPr>
          <w:p>
            <w:pPr>
              <w:spacing w:after="40"/>
            </w:pPr>
            <w:r/>
            <w:r>
              <w:rPr>
                <w:sz w:val="18"/>
              </w:rPr>
              <w:t>backend/</w:t>
            </w:r>
          </w:p>
        </w:tc>
        <w:tc>
          <w:tcPr>
            <w:tcW w:type="dxa" w:w="5904"/>
          </w:tcPr>
          <w:p>
            <w:pPr>
              <w:spacing w:after="40"/>
            </w:pPr>
            <w:r/>
            <w:r>
              <w:rPr>
                <w:sz w:val="18"/>
              </w:rPr>
              <w:t>Serverless compute: ingest, anomaly processing, alerting, REST API</w:t>
            </w:r>
          </w:p>
        </w:tc>
        <w:tc>
          <w:tcPr>
            <w:tcW w:type="dxa" w:w="2160"/>
          </w:tcPr>
          <w:p>
            <w:pPr>
              <w:spacing w:after="40"/>
            </w:pPr>
            <w:r/>
            <w:r>
              <w:rPr>
                <w:sz w:val="18"/>
              </w:rPr>
              <w:t>Krish Agarwal</w:t>
            </w:r>
          </w:p>
        </w:tc>
      </w:tr>
      <w:tr>
        <w:tc>
          <w:tcPr>
            <w:tcW w:type="dxa" w:w="1872"/>
          </w:tcPr>
          <w:p>
            <w:pPr>
              <w:spacing w:after="40"/>
            </w:pPr>
            <w:r/>
            <w:r>
              <w:rPr>
                <w:sz w:val="18"/>
              </w:rPr>
              <w:t>ai-models/</w:t>
            </w:r>
          </w:p>
        </w:tc>
        <w:tc>
          <w:tcPr>
            <w:tcW w:type="dxa" w:w="5904"/>
          </w:tcPr>
          <w:p>
            <w:pPr>
              <w:spacing w:after="40"/>
            </w:pPr>
            <w:r/>
            <w:r>
              <w:rPr>
                <w:sz w:val="18"/>
              </w:rPr>
              <w:t>Model development from raw signal to a deployable TFLite artefact</w:t>
            </w:r>
          </w:p>
        </w:tc>
        <w:tc>
          <w:tcPr>
            <w:tcW w:type="dxa" w:w="2160"/>
          </w:tcPr>
          <w:p>
            <w:pPr>
              <w:spacing w:after="40"/>
            </w:pPr>
            <w:r/>
            <w:r>
              <w:rPr>
                <w:sz w:val="18"/>
              </w:rPr>
              <w:t>Monis Raza</w:t>
            </w:r>
          </w:p>
        </w:tc>
      </w:tr>
      <w:tr>
        <w:tc>
          <w:tcPr>
            <w:tcW w:type="dxa" w:w="1872"/>
          </w:tcPr>
          <w:p>
            <w:pPr>
              <w:spacing w:after="40"/>
            </w:pPr>
            <w:r/>
            <w:r>
              <w:rPr>
                <w:sz w:val="18"/>
              </w:rPr>
              <w:t>frontend/</w:t>
            </w:r>
          </w:p>
        </w:tc>
        <w:tc>
          <w:tcPr>
            <w:tcW w:type="dxa" w:w="5904"/>
          </w:tcPr>
          <w:p>
            <w:pPr>
              <w:spacing w:after="40"/>
            </w:pPr>
            <w:r/>
            <w:r>
              <w:rPr>
                <w:sz w:val="18"/>
              </w:rPr>
              <w:t>React dashboard for live vitals, trends and alerts</w:t>
            </w:r>
          </w:p>
        </w:tc>
        <w:tc>
          <w:tcPr>
            <w:tcW w:type="dxa" w:w="2160"/>
          </w:tcPr>
          <w:p>
            <w:pPr>
              <w:spacing w:after="40"/>
            </w:pPr>
            <w:r/>
            <w:r>
              <w:rPr>
                <w:sz w:val="18"/>
              </w:rPr>
              <w:t>Rudra Srivastav</w:t>
            </w:r>
          </w:p>
        </w:tc>
      </w:tr>
      <w:tr>
        <w:tc>
          <w:tcPr>
            <w:tcW w:type="dxa" w:w="1872"/>
          </w:tcPr>
          <w:p>
            <w:pPr>
              <w:spacing w:after="40"/>
            </w:pPr>
            <w:r/>
            <w:r>
              <w:rPr>
                <w:sz w:val="18"/>
              </w:rPr>
              <w:t>database/</w:t>
            </w:r>
          </w:p>
        </w:tc>
        <w:tc>
          <w:tcPr>
            <w:tcW w:type="dxa" w:w="5904"/>
          </w:tcPr>
          <w:p>
            <w:pPr>
              <w:spacing w:after="40"/>
            </w:pPr>
            <w:r/>
            <w:r>
              <w:rPr>
                <w:sz w:val="18"/>
              </w:rPr>
              <w:t>DynamoDB single-table design, access patterns, seed data</w:t>
            </w:r>
          </w:p>
        </w:tc>
        <w:tc>
          <w:tcPr>
            <w:tcW w:type="dxa" w:w="2160"/>
          </w:tcPr>
          <w:p>
            <w:pPr>
              <w:spacing w:after="40"/>
            </w:pPr>
            <w:r/>
            <w:r>
              <w:rPr>
                <w:sz w:val="18"/>
              </w:rPr>
              <w:t>Krish Agarwal</w:t>
            </w:r>
          </w:p>
        </w:tc>
      </w:tr>
      <w:tr>
        <w:tc>
          <w:tcPr>
            <w:tcW w:type="dxa" w:w="1872"/>
          </w:tcPr>
          <w:p>
            <w:pPr>
              <w:spacing w:after="40"/>
            </w:pPr>
            <w:r/>
            <w:r>
              <w:rPr>
                <w:sz w:val="18"/>
              </w:rPr>
              <w:t>infrastructure/</w:t>
            </w:r>
          </w:p>
        </w:tc>
        <w:tc>
          <w:tcPr>
            <w:tcW w:type="dxa" w:w="5904"/>
          </w:tcPr>
          <w:p>
            <w:pPr>
              <w:spacing w:after="40"/>
            </w:pPr>
            <w:r/>
            <w:r>
              <w:rPr>
                <w:sz w:val="18"/>
              </w:rPr>
              <w:t>Infrastructure as code, deployment and teardown scripts</w:t>
            </w:r>
          </w:p>
        </w:tc>
        <w:tc>
          <w:tcPr>
            <w:tcW w:type="dxa" w:w="2160"/>
          </w:tcPr>
          <w:p>
            <w:pPr>
              <w:spacing w:after="40"/>
            </w:pPr>
            <w:r/>
            <w:r>
              <w:rPr>
                <w:sz w:val="18"/>
              </w:rPr>
              <w:t>Krish Agarwal</w:t>
            </w:r>
          </w:p>
        </w:tc>
      </w:tr>
      <w:tr>
        <w:tc>
          <w:tcPr>
            <w:tcW w:type="dxa" w:w="1872"/>
          </w:tcPr>
          <w:p>
            <w:pPr>
              <w:spacing w:after="40"/>
            </w:pPr>
            <w:r/>
            <w:r>
              <w:rPr>
                <w:sz w:val="18"/>
              </w:rPr>
              <w:t>dataset/</w:t>
            </w:r>
          </w:p>
        </w:tc>
        <w:tc>
          <w:tcPr>
            <w:tcW w:type="dxa" w:w="5904"/>
          </w:tcPr>
          <w:p>
            <w:pPr>
              <w:spacing w:after="40"/>
            </w:pPr>
            <w:r/>
            <w:r>
              <w:rPr>
                <w:sz w:val="18"/>
              </w:rPr>
              <w:t>Dataset acquisition, licensing, preprocessing contract</w:t>
            </w:r>
          </w:p>
        </w:tc>
        <w:tc>
          <w:tcPr>
            <w:tcW w:type="dxa" w:w="2160"/>
          </w:tcPr>
          <w:p>
            <w:pPr>
              <w:spacing w:after="40"/>
            </w:pPr>
            <w:r/>
            <w:r>
              <w:rPr>
                <w:sz w:val="18"/>
              </w:rPr>
              <w:t>Monis Raza</w:t>
            </w:r>
          </w:p>
        </w:tc>
      </w:tr>
      <w:tr>
        <w:tc>
          <w:tcPr>
            <w:tcW w:type="dxa" w:w="1872"/>
          </w:tcPr>
          <w:p>
            <w:pPr>
              <w:spacing w:after="40"/>
            </w:pPr>
            <w:r/>
            <w:r>
              <w:rPr>
                <w:sz w:val="18"/>
              </w:rPr>
              <w:t>docs/</w:t>
            </w:r>
          </w:p>
        </w:tc>
        <w:tc>
          <w:tcPr>
            <w:tcW w:type="dxa" w:w="5904"/>
          </w:tcPr>
          <w:p>
            <w:pPr>
              <w:spacing w:after="40"/>
            </w:pPr>
            <w:r/>
            <w:r>
              <w:rPr>
                <w:sz w:val="18"/>
              </w:rPr>
              <w:t>Architecture, literature survey, AWS notes, setup runbook</w:t>
            </w:r>
          </w:p>
        </w:tc>
        <w:tc>
          <w:tcPr>
            <w:tcW w:type="dxa" w:w="2160"/>
          </w:tcPr>
          <w:p>
            <w:pPr>
              <w:spacing w:after="40"/>
            </w:pPr>
            <w:r/>
            <w:r>
              <w:rPr>
                <w:sz w:val="18"/>
              </w:rPr>
              <w:t>Rudra Srivastav</w:t>
            </w:r>
          </w:p>
        </w:tc>
      </w:tr>
      <w:tr>
        <w:tc>
          <w:tcPr>
            <w:tcW w:type="dxa" w:w="1872"/>
          </w:tcPr>
          <w:p>
            <w:pPr>
              <w:spacing w:after="40"/>
            </w:pPr>
            <w:r/>
            <w:r>
              <w:rPr>
                <w:sz w:val="18"/>
              </w:rPr>
              <w:t>results/</w:t>
            </w:r>
          </w:p>
        </w:tc>
        <w:tc>
          <w:tcPr>
            <w:tcW w:type="dxa" w:w="5904"/>
          </w:tcPr>
          <w:p>
            <w:pPr>
              <w:spacing w:after="40"/>
            </w:pPr>
            <w:r/>
            <w:r>
              <w:rPr>
                <w:sz w:val="18"/>
              </w:rPr>
              <w:t>Benchmarks, figures and evaluation reports</w:t>
            </w:r>
          </w:p>
        </w:tc>
        <w:tc>
          <w:tcPr>
            <w:tcW w:type="dxa" w:w="2160"/>
          </w:tcPr>
          <w:p>
            <w:pPr>
              <w:spacing w:after="40"/>
            </w:pPr>
            <w:r/>
            <w:r>
              <w:rPr>
                <w:sz w:val="18"/>
              </w:rPr>
              <w:t>Rudra Srivastav</w:t>
            </w:r>
          </w:p>
        </w:tc>
      </w:tr>
      <w:tr>
        <w:tc>
          <w:tcPr>
            <w:tcW w:type="dxa" w:w="1872"/>
          </w:tcPr>
          <w:p>
            <w:pPr>
              <w:spacing w:after="40"/>
            </w:pPr>
            <w:r/>
            <w:r>
              <w:rPr>
                <w:sz w:val="18"/>
              </w:rPr>
              <w:t>presentation/</w:t>
            </w:r>
          </w:p>
        </w:tc>
        <w:tc>
          <w:tcPr>
            <w:tcW w:type="dxa" w:w="5904"/>
          </w:tcPr>
          <w:p>
            <w:pPr>
              <w:spacing w:after="40"/>
            </w:pPr>
            <w:r/>
            <w:r>
              <w:rPr>
                <w:sz w:val="18"/>
              </w:rPr>
              <w:t>Slide deck, demo script, final report</w:t>
            </w:r>
          </w:p>
        </w:tc>
        <w:tc>
          <w:tcPr>
            <w:tcW w:type="dxa" w:w="2160"/>
          </w:tcPr>
          <w:p>
            <w:pPr>
              <w:spacing w:after="40"/>
            </w:pPr>
            <w:r/>
            <w:r>
              <w:rPr>
                <w:sz w:val="18"/>
              </w:rPr>
              <w:t>Rudra Srivastav</w:t>
            </w:r>
          </w:p>
        </w:tc>
      </w:tr>
      <w:tr>
        <w:tc>
          <w:tcPr>
            <w:tcW w:type="dxa" w:w="1872"/>
          </w:tcPr>
          <w:p>
            <w:pPr>
              <w:spacing w:after="40"/>
            </w:pPr>
            <w:r/>
            <w:r>
              <w:rPr>
                <w:sz w:val="18"/>
              </w:rPr>
              <w:t>tests/</w:t>
            </w:r>
          </w:p>
        </w:tc>
        <w:tc>
          <w:tcPr>
            <w:tcW w:type="dxa" w:w="5904"/>
          </w:tcPr>
          <w:p>
            <w:pPr>
              <w:spacing w:after="40"/>
            </w:pPr>
            <w:r/>
            <w:r>
              <w:rPr>
                <w:sz w:val="18"/>
              </w:rPr>
              <w:t>Unit and integration test suites</w:t>
            </w:r>
          </w:p>
        </w:tc>
        <w:tc>
          <w:tcPr>
            <w:tcW w:type="dxa" w:w="2160"/>
          </w:tcPr>
          <w:p>
            <w:pPr>
              <w:spacing w:after="40"/>
            </w:pPr>
            <w:r/>
            <w:r>
              <w:rPr>
                <w:sz w:val="18"/>
              </w:rPr>
              <w:t>Krish Agarwal</w:t>
            </w:r>
          </w:p>
        </w:tc>
      </w:tr>
    </w:tbl>
    <w:p>
      <w:pPr>
        <w:spacing w:after="80"/>
      </w:pPr>
    </w:p>
    <w:p>
      <w:r>
        <w:br w:type="page"/>
      </w:r>
    </w:p>
    <w:p>
      <w:pPr>
        <w:pStyle w:val="Heading1"/>
        <w:spacing w:before="280" w:after="120"/>
      </w:pPr>
      <w:r>
        <w:t>9.  Work Distribution &amp; Individual Contribution</w:t>
      </w:r>
    </w:p>
    <w:tbl>
      <w:tblPr>
        <w:tblStyle w:val="TableGrid"/>
        <w:tblW w:type="auto" w:w="0"/>
        <w:jc w:val="center"/>
        <w:tblLayout w:type="fixed"/>
        <w:tblLook w:firstColumn="1" w:firstRow="1" w:lastColumn="0" w:lastRow="0" w:noHBand="0" w:noVBand="1" w:val="04A0"/>
        <w:tblLayout w:type="fixed"/>
      </w:tblPr>
      <w:tblGrid>
        <w:gridCol w:w="2160"/>
        <w:gridCol w:w="1728"/>
        <w:gridCol w:w="3528"/>
        <w:gridCol w:w="1656"/>
        <w:gridCol w:w="864"/>
      </w:tblGrid>
      <w:tr>
        <w:tc>
          <w:tcPr>
            <w:tcW w:type="dxa" w:w="2160"/>
            <w:shd w:val="clear" w:fill="D9E3F0"/>
          </w:tcPr>
          <w:p>
            <w:r/>
            <w:r>
              <w:rPr>
                <w:b/>
                <w:sz w:val="19"/>
              </w:rPr>
              <w:t>Name</w:t>
            </w:r>
          </w:p>
        </w:tc>
        <w:tc>
          <w:tcPr>
            <w:tcW w:type="dxa" w:w="1728"/>
            <w:shd w:val="clear" w:fill="D9E3F0"/>
          </w:tcPr>
          <w:p>
            <w:r/>
            <w:r>
              <w:rPr>
                <w:b/>
                <w:sz w:val="19"/>
              </w:rPr>
              <w:t>Registration No.</w:t>
            </w:r>
          </w:p>
        </w:tc>
        <w:tc>
          <w:tcPr>
            <w:tcW w:type="dxa" w:w="3528"/>
            <w:shd w:val="clear" w:fill="D9E3F0"/>
          </w:tcPr>
          <w:p>
            <w:r/>
            <w:r>
              <w:rPr>
                <w:b/>
                <w:sz w:val="19"/>
              </w:rPr>
              <w:t>Area of Responsibility</w:t>
            </w:r>
          </w:p>
        </w:tc>
        <w:tc>
          <w:tcPr>
            <w:tcW w:type="dxa" w:w="1656"/>
            <w:shd w:val="clear" w:fill="D9E3F0"/>
          </w:tcPr>
          <w:p>
            <w:r/>
            <w:r>
              <w:rPr>
                <w:b/>
                <w:sz w:val="19"/>
              </w:rPr>
              <w:t>Tasks</w:t>
            </w:r>
          </w:p>
        </w:tc>
        <w:tc>
          <w:tcPr>
            <w:tcW w:type="dxa" w:w="864"/>
            <w:shd w:val="clear" w:fill="D9E3F0"/>
          </w:tcPr>
          <w:p>
            <w:r/>
            <w:r>
              <w:rPr>
                <w:b/>
                <w:sz w:val="19"/>
              </w:rPr>
              <w:t>Share</w:t>
            </w:r>
          </w:p>
        </w:tc>
      </w:tr>
      <w:tr>
        <w:tc>
          <w:tcPr>
            <w:tcW w:type="dxa" w:w="2160"/>
          </w:tcPr>
          <w:p>
            <w:pPr>
              <w:spacing w:after="40"/>
            </w:pPr>
            <w:r/>
            <w:r>
              <w:rPr>
                <w:sz w:val="19"/>
              </w:rPr>
              <w:t>Krish Agarwal</w:t>
            </w:r>
          </w:p>
        </w:tc>
        <w:tc>
          <w:tcPr>
            <w:tcW w:type="dxa" w:w="1728"/>
          </w:tcPr>
          <w:p>
            <w:pPr>
              <w:spacing w:after="40"/>
            </w:pPr>
            <w:r/>
            <w:r>
              <w:rPr>
                <w:sz w:val="19"/>
              </w:rPr>
              <w:t>23BIT0427</w:t>
            </w:r>
          </w:p>
        </w:tc>
        <w:tc>
          <w:tcPr>
            <w:tcW w:type="dxa" w:w="3528"/>
          </w:tcPr>
          <w:p>
            <w:pPr>
              <w:spacing w:after="40"/>
            </w:pPr>
            <w:r/>
            <w:r>
              <w:rPr>
                <w:sz w:val="19"/>
              </w:rPr>
              <w:t>Cloud Infrastructure, DevOps, Backend &amp; Data</w:t>
            </w:r>
          </w:p>
        </w:tc>
        <w:tc>
          <w:tcPr>
            <w:tcW w:type="dxa" w:w="1656"/>
          </w:tcPr>
          <w:p>
            <w:pPr>
              <w:spacing w:after="40"/>
            </w:pPr>
            <w:r/>
            <w:r>
              <w:rPr>
                <w:sz w:val="19"/>
              </w:rPr>
              <w:t>16 (I-1…I-8, B-1…B-8)</w:t>
            </w:r>
          </w:p>
        </w:tc>
        <w:tc>
          <w:tcPr>
            <w:tcW w:type="dxa" w:w="864"/>
          </w:tcPr>
          <w:p>
            <w:pPr>
              <w:spacing w:after="40"/>
            </w:pPr>
            <w:r/>
            <w:r>
              <w:rPr>
                <w:sz w:val="19"/>
              </w:rPr>
              <w:t>~45 %</w:t>
            </w:r>
          </w:p>
        </w:tc>
      </w:tr>
      <w:tr>
        <w:tc>
          <w:tcPr>
            <w:tcW w:type="dxa" w:w="2160"/>
          </w:tcPr>
          <w:p>
            <w:pPr>
              <w:spacing w:after="40"/>
            </w:pPr>
            <w:r/>
            <w:r>
              <w:rPr>
                <w:sz w:val="19"/>
              </w:rPr>
              <w:t>Monis Raza</w:t>
            </w:r>
          </w:p>
        </w:tc>
        <w:tc>
          <w:tcPr>
            <w:tcW w:type="dxa" w:w="1728"/>
          </w:tcPr>
          <w:p>
            <w:pPr>
              <w:spacing w:after="40"/>
            </w:pPr>
            <w:r/>
            <w:r>
              <w:rPr>
                <w:sz w:val="19"/>
              </w:rPr>
              <w:t>23BIT228</w:t>
            </w:r>
          </w:p>
        </w:tc>
        <w:tc>
          <w:tcPr>
            <w:tcW w:type="dxa" w:w="3528"/>
          </w:tcPr>
          <w:p>
            <w:pPr>
              <w:spacing w:after="40"/>
            </w:pPr>
            <w:r/>
            <w:r>
              <w:rPr>
                <w:sz w:val="19"/>
              </w:rPr>
              <w:t>AI/ML &amp; Edge Intelligence</w:t>
            </w:r>
          </w:p>
        </w:tc>
        <w:tc>
          <w:tcPr>
            <w:tcW w:type="dxa" w:w="1656"/>
          </w:tcPr>
          <w:p>
            <w:pPr>
              <w:spacing w:after="40"/>
            </w:pPr>
            <w:r/>
            <w:r>
              <w:rPr>
                <w:sz w:val="19"/>
              </w:rPr>
              <w:t>8 (M-1…M-8)</w:t>
            </w:r>
          </w:p>
        </w:tc>
        <w:tc>
          <w:tcPr>
            <w:tcW w:type="dxa" w:w="864"/>
          </w:tcPr>
          <w:p>
            <w:pPr>
              <w:spacing w:after="40"/>
            </w:pPr>
            <w:r/>
            <w:r>
              <w:rPr>
                <w:sz w:val="19"/>
              </w:rPr>
              <w:t>~30 %</w:t>
            </w:r>
          </w:p>
        </w:tc>
      </w:tr>
      <w:tr>
        <w:tc>
          <w:tcPr>
            <w:tcW w:type="dxa" w:w="2160"/>
          </w:tcPr>
          <w:p>
            <w:pPr>
              <w:spacing w:after="40"/>
            </w:pPr>
            <w:r/>
            <w:r>
              <w:rPr>
                <w:sz w:val="19"/>
              </w:rPr>
              <w:t>Rudra Srivastav</w:t>
            </w:r>
          </w:p>
        </w:tc>
        <w:tc>
          <w:tcPr>
            <w:tcW w:type="dxa" w:w="1728"/>
          </w:tcPr>
          <w:p>
            <w:pPr>
              <w:spacing w:after="40"/>
            </w:pPr>
            <w:r/>
            <w:r>
              <w:rPr>
                <w:sz w:val="19"/>
              </w:rPr>
              <w:t>23BIT174</w:t>
            </w:r>
          </w:p>
        </w:tc>
        <w:tc>
          <w:tcPr>
            <w:tcW w:type="dxa" w:w="3528"/>
          </w:tcPr>
          <w:p>
            <w:pPr>
              <w:spacing w:after="40"/>
            </w:pPr>
            <w:r/>
            <w:r>
              <w:rPr>
                <w:sz w:val="19"/>
              </w:rPr>
              <w:t>Frontend, Visualisation &amp; Documentation</w:t>
            </w:r>
          </w:p>
        </w:tc>
        <w:tc>
          <w:tcPr>
            <w:tcW w:type="dxa" w:w="1656"/>
          </w:tcPr>
          <w:p>
            <w:pPr>
              <w:spacing w:after="40"/>
            </w:pPr>
            <w:r/>
            <w:r>
              <w:rPr>
                <w:sz w:val="19"/>
              </w:rPr>
              <w:t>8 (F-1…F-8)</w:t>
            </w:r>
          </w:p>
        </w:tc>
        <w:tc>
          <w:tcPr>
            <w:tcW w:type="dxa" w:w="864"/>
          </w:tcPr>
          <w:p>
            <w:pPr>
              <w:spacing w:after="40"/>
            </w:pPr>
            <w:r/>
            <w:r>
              <w:rPr>
                <w:sz w:val="19"/>
              </w:rPr>
              <w:t>~25 %</w:t>
            </w:r>
          </w:p>
        </w:tc>
      </w:tr>
    </w:tbl>
    <w:p>
      <w:pPr>
        <w:spacing w:after="80"/>
      </w:pPr>
    </w:p>
    <w:p>
      <w:pPr>
        <w:pStyle w:val="Heading2"/>
        <w:spacing w:before="200" w:after="120"/>
      </w:pPr>
      <w:r>
        <w:t>Rationale for the distribution</w:t>
      </w:r>
    </w:p>
    <w:p>
      <w:pPr>
        <w:spacing w:after="120"/>
      </w:pPr>
      <w:r>
        <w:rPr>
          <w:b w:val="0"/>
          <w:i w:val="0"/>
        </w:rPr>
        <w:t>The project comprises four distinct technical areas but the team has three members, so Krish Agarwal covers two of them — the cloud infrastructure tier and the backend/data tier. These are the most tightly coupled parts of the system: the CloudFormation template, the Lambda functions and the DynamoDB schema all change together, so dividing them between two people would create constant merge friction on the same files. This gives Krish 16 of the 32 planned tasks, with Monis and Rudra owning 8 each.</w:t>
      </w:r>
    </w:p>
    <w:p>
      <w:pPr>
        <w:pStyle w:val="Heading2"/>
        <w:spacing w:before="200" w:after="120"/>
      </w:pPr>
      <w:r>
        <w:t>9.1  Krish Agarwal (23BIT0427) — Cloud Infrastructure, DevOps, Backend &amp; Data</w:t>
      </w:r>
    </w:p>
    <w:p>
      <w:pPr>
        <w:spacing w:after="60"/>
      </w:pPr>
      <w:r>
        <w:rPr>
          <w:b/>
          <w:i w:val="0"/>
          <w:sz w:val="21"/>
        </w:rPr>
        <w:t>Infrastructure and DevOps</w:t>
      </w:r>
    </w:p>
    <w:tbl>
      <w:tblPr>
        <w:tblStyle w:val="TableGrid"/>
        <w:tblW w:type="auto" w:w="0"/>
        <w:jc w:val="center"/>
        <w:tblLayout w:type="fixed"/>
        <w:tblLook w:firstColumn="1" w:firstRow="1" w:lastColumn="0" w:lastRow="0" w:noHBand="0" w:noVBand="1" w:val="04A0"/>
        <w:tblLayout w:type="fixed"/>
      </w:tblPr>
      <w:tblGrid>
        <w:gridCol w:w="720"/>
        <w:gridCol w:w="5184"/>
        <w:gridCol w:w="4032"/>
      </w:tblGrid>
      <w:tr>
        <w:tc>
          <w:tcPr>
            <w:tcW w:type="dxa" w:w="720"/>
            <w:shd w:val="clear" w:fill="D9E3F0"/>
          </w:tcPr>
          <w:p>
            <w:r/>
            <w:r>
              <w:rPr>
                <w:b/>
                <w:sz w:val="18"/>
              </w:rPr>
              <w:t>ID</w:t>
            </w:r>
          </w:p>
        </w:tc>
        <w:tc>
          <w:tcPr>
            <w:tcW w:type="dxa" w:w="5184"/>
            <w:shd w:val="clear" w:fill="D9E3F0"/>
          </w:tcPr>
          <w:p>
            <w:r/>
            <w:r>
              <w:rPr>
                <w:b/>
                <w:sz w:val="18"/>
              </w:rPr>
              <w:t>Task</w:t>
            </w:r>
          </w:p>
        </w:tc>
        <w:tc>
          <w:tcPr>
            <w:tcW w:type="dxa" w:w="4032"/>
            <w:shd w:val="clear" w:fill="D9E3F0"/>
          </w:tcPr>
          <w:p>
            <w:r/>
            <w:r>
              <w:rPr>
                <w:b/>
                <w:sz w:val="18"/>
              </w:rPr>
              <w:t>Deliverable</w:t>
            </w:r>
          </w:p>
        </w:tc>
      </w:tr>
      <w:tr>
        <w:tc>
          <w:tcPr>
            <w:tcW w:type="dxa" w:w="720"/>
          </w:tcPr>
          <w:p>
            <w:pPr>
              <w:spacing w:after="40"/>
            </w:pPr>
            <w:r/>
            <w:r>
              <w:rPr>
                <w:sz w:val="18"/>
              </w:rPr>
              <w:t>I-1</w:t>
            </w:r>
          </w:p>
        </w:tc>
        <w:tc>
          <w:tcPr>
            <w:tcW w:type="dxa" w:w="5184"/>
          </w:tcPr>
          <w:p>
            <w:pPr>
              <w:spacing w:after="40"/>
            </w:pPr>
            <w:r/>
            <w:r>
              <w:rPr>
                <w:sz w:val="18"/>
              </w:rPr>
              <w:t>AWS account setup, IAM users, MFA, budget and billing alarm at $1</w:t>
            </w:r>
          </w:p>
        </w:tc>
        <w:tc>
          <w:tcPr>
            <w:tcW w:type="dxa" w:w="4032"/>
          </w:tcPr>
          <w:p>
            <w:pPr>
              <w:spacing w:after="40"/>
            </w:pPr>
            <w:r/>
            <w:r>
              <w:rPr>
                <w:sz w:val="18"/>
              </w:rPr>
              <w:t>docs/setup/SETUP.md</w:t>
            </w:r>
          </w:p>
        </w:tc>
      </w:tr>
      <w:tr>
        <w:tc>
          <w:tcPr>
            <w:tcW w:type="dxa" w:w="720"/>
          </w:tcPr>
          <w:p>
            <w:pPr>
              <w:spacing w:after="40"/>
            </w:pPr>
            <w:r/>
            <w:r>
              <w:rPr>
                <w:sz w:val="18"/>
              </w:rPr>
              <w:t>I-2</w:t>
            </w:r>
          </w:p>
        </w:tc>
        <w:tc>
          <w:tcPr>
            <w:tcW w:type="dxa" w:w="5184"/>
          </w:tcPr>
          <w:p>
            <w:pPr>
              <w:spacing w:after="40"/>
            </w:pPr>
            <w:r/>
            <w:r>
              <w:rPr>
                <w:sz w:val="18"/>
              </w:rPr>
              <w:t>Author the SAM/CloudFormation template for the full stack</w:t>
            </w:r>
          </w:p>
        </w:tc>
        <w:tc>
          <w:tcPr>
            <w:tcW w:type="dxa" w:w="4032"/>
          </w:tcPr>
          <w:p>
            <w:pPr>
              <w:spacing w:after="40"/>
            </w:pPr>
            <w:r/>
            <w:r>
              <w:rPr>
                <w:sz w:val="18"/>
              </w:rPr>
              <w:t>infrastructure/cloudformation/template.yaml</w:t>
            </w:r>
          </w:p>
        </w:tc>
      </w:tr>
      <w:tr>
        <w:tc>
          <w:tcPr>
            <w:tcW w:type="dxa" w:w="720"/>
          </w:tcPr>
          <w:p>
            <w:pPr>
              <w:spacing w:after="40"/>
            </w:pPr>
            <w:r/>
            <w:r>
              <w:rPr>
                <w:sz w:val="18"/>
              </w:rPr>
              <w:t>I-3</w:t>
            </w:r>
          </w:p>
        </w:tc>
        <w:tc>
          <w:tcPr>
            <w:tcW w:type="dxa" w:w="5184"/>
          </w:tcPr>
          <w:p>
            <w:pPr>
              <w:spacing w:after="40"/>
            </w:pPr>
            <w:r/>
            <w:r>
              <w:rPr>
                <w:sz w:val="18"/>
              </w:rPr>
              <w:t>IoT Core thing type, policy and X.509 certificate provisioning</w:t>
            </w:r>
          </w:p>
        </w:tc>
        <w:tc>
          <w:tcPr>
            <w:tcW w:type="dxa" w:w="4032"/>
          </w:tcPr>
          <w:p>
            <w:pPr>
              <w:spacing w:after="40"/>
            </w:pPr>
            <w:r/>
            <w:r>
              <w:rPr>
                <w:sz w:val="18"/>
              </w:rPr>
              <w:t>infrastructure/scripts/provision_device.sh</w:t>
            </w:r>
          </w:p>
        </w:tc>
      </w:tr>
      <w:tr>
        <w:tc>
          <w:tcPr>
            <w:tcW w:type="dxa" w:w="720"/>
          </w:tcPr>
          <w:p>
            <w:pPr>
              <w:spacing w:after="40"/>
            </w:pPr>
            <w:r/>
            <w:r>
              <w:rPr>
                <w:sz w:val="18"/>
              </w:rPr>
              <w:t>I-4</w:t>
            </w:r>
          </w:p>
        </w:tc>
        <w:tc>
          <w:tcPr>
            <w:tcW w:type="dxa" w:w="5184"/>
          </w:tcPr>
          <w:p>
            <w:pPr>
              <w:spacing w:after="40"/>
            </w:pPr>
            <w:r/>
            <w:r>
              <w:rPr>
                <w:sz w:val="18"/>
              </w:rPr>
              <w:t>Least-privilege IAM roles for each Lambda function</w:t>
            </w:r>
          </w:p>
        </w:tc>
        <w:tc>
          <w:tcPr>
            <w:tcW w:type="dxa" w:w="4032"/>
          </w:tcPr>
          <w:p>
            <w:pPr>
              <w:spacing w:after="40"/>
            </w:pPr>
            <w:r/>
            <w:r>
              <w:rPr>
                <w:sz w:val="18"/>
              </w:rPr>
              <w:t>docs/aws/IAM_NOTES.md</w:t>
            </w:r>
          </w:p>
        </w:tc>
      </w:tr>
      <w:tr>
        <w:tc>
          <w:tcPr>
            <w:tcW w:type="dxa" w:w="720"/>
          </w:tcPr>
          <w:p>
            <w:pPr>
              <w:spacing w:after="40"/>
            </w:pPr>
            <w:r/>
            <w:r>
              <w:rPr>
                <w:sz w:val="18"/>
              </w:rPr>
              <w:t>I-5</w:t>
            </w:r>
          </w:p>
        </w:tc>
        <w:tc>
          <w:tcPr>
            <w:tcW w:type="dxa" w:w="5184"/>
          </w:tcPr>
          <w:p>
            <w:pPr>
              <w:spacing w:after="40"/>
            </w:pPr>
            <w:r/>
            <w:r>
              <w:rPr>
                <w:sz w:val="18"/>
              </w:rPr>
              <w:t>CI/CD with GitHub Actions and OIDC federation to AWS</w:t>
            </w:r>
          </w:p>
        </w:tc>
        <w:tc>
          <w:tcPr>
            <w:tcW w:type="dxa" w:w="4032"/>
          </w:tcPr>
          <w:p>
            <w:pPr>
              <w:spacing w:after="40"/>
            </w:pPr>
            <w:r/>
            <w:r>
              <w:rPr>
                <w:sz w:val="18"/>
              </w:rPr>
              <w:t>.github/workflows/deploy.yml</w:t>
            </w:r>
          </w:p>
        </w:tc>
      </w:tr>
      <w:tr>
        <w:tc>
          <w:tcPr>
            <w:tcW w:type="dxa" w:w="720"/>
          </w:tcPr>
          <w:p>
            <w:pPr>
              <w:spacing w:after="40"/>
            </w:pPr>
            <w:r/>
            <w:r>
              <w:rPr>
                <w:sz w:val="18"/>
              </w:rPr>
              <w:t>I-6</w:t>
            </w:r>
          </w:p>
        </w:tc>
        <w:tc>
          <w:tcPr>
            <w:tcW w:type="dxa" w:w="5184"/>
          </w:tcPr>
          <w:p>
            <w:pPr>
              <w:spacing w:after="40"/>
            </w:pPr>
            <w:r/>
            <w:r>
              <w:rPr>
                <w:sz w:val="18"/>
              </w:rPr>
              <w:t>CloudWatch dashboards, log-retention policies and alarms</w:t>
            </w:r>
          </w:p>
        </w:tc>
        <w:tc>
          <w:tcPr>
            <w:tcW w:type="dxa" w:w="4032"/>
          </w:tcPr>
          <w:p>
            <w:pPr>
              <w:spacing w:after="40"/>
            </w:pPr>
            <w:r/>
            <w:r>
              <w:rPr>
                <w:sz w:val="18"/>
              </w:rPr>
              <w:t>Dashboard definition and screenshots</w:t>
            </w:r>
          </w:p>
        </w:tc>
      </w:tr>
      <w:tr>
        <w:tc>
          <w:tcPr>
            <w:tcW w:type="dxa" w:w="720"/>
          </w:tcPr>
          <w:p>
            <w:pPr>
              <w:spacing w:after="40"/>
            </w:pPr>
            <w:r/>
            <w:r>
              <w:rPr>
                <w:sz w:val="18"/>
              </w:rPr>
              <w:t>I-7</w:t>
            </w:r>
          </w:p>
        </w:tc>
        <w:tc>
          <w:tcPr>
            <w:tcW w:type="dxa" w:w="5184"/>
          </w:tcPr>
          <w:p>
            <w:pPr>
              <w:spacing w:after="40"/>
            </w:pPr>
            <w:r/>
            <w:r>
              <w:rPr>
                <w:sz w:val="18"/>
              </w:rPr>
              <w:t>Free Tier quota tracking and weekly cost reporting</w:t>
            </w:r>
          </w:p>
        </w:tc>
        <w:tc>
          <w:tcPr>
            <w:tcW w:type="dxa" w:w="4032"/>
          </w:tcPr>
          <w:p>
            <w:pPr>
              <w:spacing w:after="40"/>
            </w:pPr>
            <w:r/>
            <w:r>
              <w:rPr>
                <w:sz w:val="18"/>
              </w:rPr>
              <w:t>docs/aws/FREE_TIER_BUDGET.md</w:t>
            </w:r>
          </w:p>
        </w:tc>
      </w:tr>
      <w:tr>
        <w:tc>
          <w:tcPr>
            <w:tcW w:type="dxa" w:w="720"/>
          </w:tcPr>
          <w:p>
            <w:pPr>
              <w:spacing w:after="40"/>
            </w:pPr>
            <w:r/>
            <w:r>
              <w:rPr>
                <w:sz w:val="18"/>
              </w:rPr>
              <w:t>I-8</w:t>
            </w:r>
          </w:p>
        </w:tc>
        <w:tc>
          <w:tcPr>
            <w:tcW w:type="dxa" w:w="5184"/>
          </w:tcPr>
          <w:p>
            <w:pPr>
              <w:spacing w:after="40"/>
            </w:pPr>
            <w:r/>
            <w:r>
              <w:rPr>
                <w:sz w:val="18"/>
              </w:rPr>
              <w:t>S3 + CloudFront static hosting and cache invalidation</w:t>
            </w:r>
          </w:p>
        </w:tc>
        <w:tc>
          <w:tcPr>
            <w:tcW w:type="dxa" w:w="4032"/>
          </w:tcPr>
          <w:p>
            <w:pPr>
              <w:spacing w:after="40"/>
            </w:pPr>
            <w:r/>
            <w:r>
              <w:rPr>
                <w:sz w:val="18"/>
              </w:rPr>
              <w:t>Template section and deploy script</w:t>
            </w:r>
          </w:p>
        </w:tc>
      </w:tr>
    </w:tbl>
    <w:p>
      <w:pPr>
        <w:spacing w:after="80"/>
      </w:pPr>
    </w:p>
    <w:p>
      <w:pPr>
        <w:spacing w:after="60"/>
      </w:pPr>
      <w:r>
        <w:rPr>
          <w:b/>
          <w:i w:val="0"/>
          <w:sz w:val="21"/>
        </w:rPr>
        <w:t>Backend and data</w:t>
      </w:r>
    </w:p>
    <w:tbl>
      <w:tblPr>
        <w:tblStyle w:val="TableGrid"/>
        <w:tblW w:type="auto" w:w="0"/>
        <w:jc w:val="center"/>
        <w:tblLayout w:type="fixed"/>
        <w:tblLook w:firstColumn="1" w:firstRow="1" w:lastColumn="0" w:lastRow="0" w:noHBand="0" w:noVBand="1" w:val="04A0"/>
        <w:tblLayout w:type="fixed"/>
      </w:tblPr>
      <w:tblGrid>
        <w:gridCol w:w="720"/>
        <w:gridCol w:w="5184"/>
        <w:gridCol w:w="4032"/>
      </w:tblGrid>
      <w:tr>
        <w:tc>
          <w:tcPr>
            <w:tcW w:type="dxa" w:w="720"/>
            <w:shd w:val="clear" w:fill="D9E3F0"/>
          </w:tcPr>
          <w:p>
            <w:r/>
            <w:r>
              <w:rPr>
                <w:b/>
                <w:sz w:val="18"/>
              </w:rPr>
              <w:t>ID</w:t>
            </w:r>
          </w:p>
        </w:tc>
        <w:tc>
          <w:tcPr>
            <w:tcW w:type="dxa" w:w="5184"/>
            <w:shd w:val="clear" w:fill="D9E3F0"/>
          </w:tcPr>
          <w:p>
            <w:r/>
            <w:r>
              <w:rPr>
                <w:b/>
                <w:sz w:val="18"/>
              </w:rPr>
              <w:t>Task</w:t>
            </w:r>
          </w:p>
        </w:tc>
        <w:tc>
          <w:tcPr>
            <w:tcW w:type="dxa" w:w="4032"/>
            <w:shd w:val="clear" w:fill="D9E3F0"/>
          </w:tcPr>
          <w:p>
            <w:r/>
            <w:r>
              <w:rPr>
                <w:b/>
                <w:sz w:val="18"/>
              </w:rPr>
              <w:t>Deliverable</w:t>
            </w:r>
          </w:p>
        </w:tc>
      </w:tr>
      <w:tr>
        <w:tc>
          <w:tcPr>
            <w:tcW w:type="dxa" w:w="720"/>
          </w:tcPr>
          <w:p>
            <w:pPr>
              <w:spacing w:after="40"/>
            </w:pPr>
            <w:r/>
            <w:r>
              <w:rPr>
                <w:sz w:val="18"/>
              </w:rPr>
              <w:t>B-1</w:t>
            </w:r>
          </w:p>
        </w:tc>
        <w:tc>
          <w:tcPr>
            <w:tcW w:type="dxa" w:w="5184"/>
          </w:tcPr>
          <w:p>
            <w:pPr>
              <w:spacing w:after="40"/>
            </w:pPr>
            <w:r/>
            <w:r>
              <w:rPr>
                <w:sz w:val="18"/>
              </w:rPr>
              <w:t>Define and validate the telemetry message schema</w:t>
            </w:r>
          </w:p>
        </w:tc>
        <w:tc>
          <w:tcPr>
            <w:tcW w:type="dxa" w:w="4032"/>
          </w:tcPr>
          <w:p>
            <w:pPr>
              <w:spacing w:after="40"/>
            </w:pPr>
            <w:r/>
            <w:r>
              <w:rPr>
                <w:sz w:val="18"/>
              </w:rPr>
              <w:t>backend/common/schema.py, API contract</w:t>
            </w:r>
          </w:p>
        </w:tc>
      </w:tr>
      <w:tr>
        <w:tc>
          <w:tcPr>
            <w:tcW w:type="dxa" w:w="720"/>
          </w:tcPr>
          <w:p>
            <w:pPr>
              <w:spacing w:after="40"/>
            </w:pPr>
            <w:r/>
            <w:r>
              <w:rPr>
                <w:sz w:val="18"/>
              </w:rPr>
              <w:t>B-2</w:t>
            </w:r>
          </w:p>
        </w:tc>
        <w:tc>
          <w:tcPr>
            <w:tcW w:type="dxa" w:w="5184"/>
          </w:tcPr>
          <w:p>
            <w:pPr>
              <w:spacing w:after="40"/>
            </w:pPr>
            <w:r/>
            <w:r>
              <w:rPr>
                <w:sz w:val="18"/>
              </w:rPr>
              <w:t>ingest_handler Lambda: validate, normalise, fan out to DynamoDB and S3</w:t>
            </w:r>
          </w:p>
        </w:tc>
        <w:tc>
          <w:tcPr>
            <w:tcW w:type="dxa" w:w="4032"/>
          </w:tcPr>
          <w:p>
            <w:pPr>
              <w:spacing w:after="40"/>
            </w:pPr>
            <w:r/>
            <w:r>
              <w:rPr>
                <w:sz w:val="18"/>
              </w:rPr>
              <w:t>backend/lambdas/ingest_handler/</w:t>
            </w:r>
          </w:p>
        </w:tc>
      </w:tr>
      <w:tr>
        <w:tc>
          <w:tcPr>
            <w:tcW w:type="dxa" w:w="720"/>
          </w:tcPr>
          <w:p>
            <w:pPr>
              <w:spacing w:after="40"/>
            </w:pPr>
            <w:r/>
            <w:r>
              <w:rPr>
                <w:sz w:val="18"/>
              </w:rPr>
              <w:t>B-3</w:t>
            </w:r>
          </w:p>
        </w:tc>
        <w:tc>
          <w:tcPr>
            <w:tcW w:type="dxa" w:w="5184"/>
          </w:tcPr>
          <w:p>
            <w:pPr>
              <w:spacing w:after="40"/>
            </w:pPr>
            <w:r/>
            <w:r>
              <w:rPr>
                <w:sz w:val="18"/>
              </w:rPr>
              <w:t>anomaly_processor Lambda: cloud-side confirmation inference</w:t>
            </w:r>
          </w:p>
        </w:tc>
        <w:tc>
          <w:tcPr>
            <w:tcW w:type="dxa" w:w="4032"/>
          </w:tcPr>
          <w:p>
            <w:pPr>
              <w:spacing w:after="40"/>
            </w:pPr>
            <w:r/>
            <w:r>
              <w:rPr>
                <w:sz w:val="18"/>
              </w:rPr>
              <w:t>backend/lambdas/anomaly_processor/</w:t>
            </w:r>
          </w:p>
        </w:tc>
      </w:tr>
      <w:tr>
        <w:tc>
          <w:tcPr>
            <w:tcW w:type="dxa" w:w="720"/>
          </w:tcPr>
          <w:p>
            <w:pPr>
              <w:spacing w:after="40"/>
            </w:pPr>
            <w:r/>
            <w:r>
              <w:rPr>
                <w:sz w:val="18"/>
              </w:rPr>
              <w:t>B-4</w:t>
            </w:r>
          </w:p>
        </w:tc>
        <w:tc>
          <w:tcPr>
            <w:tcW w:type="dxa" w:w="5184"/>
          </w:tcPr>
          <w:p>
            <w:pPr>
              <w:spacing w:after="40"/>
            </w:pPr>
            <w:r/>
            <w:r>
              <w:rPr>
                <w:sz w:val="18"/>
              </w:rPr>
              <w:t>alert_dispatcher Lambda: de-duplication, debounce, SNS publish</w:t>
            </w:r>
          </w:p>
        </w:tc>
        <w:tc>
          <w:tcPr>
            <w:tcW w:type="dxa" w:w="4032"/>
          </w:tcPr>
          <w:p>
            <w:pPr>
              <w:spacing w:after="40"/>
            </w:pPr>
            <w:r/>
            <w:r>
              <w:rPr>
                <w:sz w:val="18"/>
              </w:rPr>
              <w:t>backend/lambdas/alert_dispatcher/</w:t>
            </w:r>
          </w:p>
        </w:tc>
      </w:tr>
      <w:tr>
        <w:tc>
          <w:tcPr>
            <w:tcW w:type="dxa" w:w="720"/>
          </w:tcPr>
          <w:p>
            <w:pPr>
              <w:spacing w:after="40"/>
            </w:pPr>
            <w:r/>
            <w:r>
              <w:rPr>
                <w:sz w:val="18"/>
              </w:rPr>
              <w:t>B-5</w:t>
            </w:r>
          </w:p>
        </w:tc>
        <w:tc>
          <w:tcPr>
            <w:tcW w:type="dxa" w:w="5184"/>
          </w:tcPr>
          <w:p>
            <w:pPr>
              <w:spacing w:after="40"/>
            </w:pPr>
            <w:r/>
            <w:r>
              <w:rPr>
                <w:sz w:val="18"/>
              </w:rPr>
              <w:t>api_handler Lambda and API Gateway routes</w:t>
            </w:r>
          </w:p>
        </w:tc>
        <w:tc>
          <w:tcPr>
            <w:tcW w:type="dxa" w:w="4032"/>
          </w:tcPr>
          <w:p>
            <w:pPr>
              <w:spacing w:after="40"/>
            </w:pPr>
            <w:r/>
            <w:r>
              <w:rPr>
                <w:sz w:val="18"/>
              </w:rPr>
              <w:t>backend/lambdas/api_handler/, OpenAPI spec</w:t>
            </w:r>
          </w:p>
        </w:tc>
      </w:tr>
      <w:tr>
        <w:tc>
          <w:tcPr>
            <w:tcW w:type="dxa" w:w="720"/>
          </w:tcPr>
          <w:p>
            <w:pPr>
              <w:spacing w:after="40"/>
            </w:pPr>
            <w:r/>
            <w:r>
              <w:rPr>
                <w:sz w:val="18"/>
              </w:rPr>
              <w:t>B-6</w:t>
            </w:r>
          </w:p>
        </w:tc>
        <w:tc>
          <w:tcPr>
            <w:tcW w:type="dxa" w:w="5184"/>
          </w:tcPr>
          <w:p>
            <w:pPr>
              <w:spacing w:after="40"/>
            </w:pPr>
            <w:r/>
            <w:r>
              <w:rPr>
                <w:sz w:val="18"/>
              </w:rPr>
              <w:t>DynamoDB single-table design, GSIs and TTL policy</w:t>
            </w:r>
          </w:p>
        </w:tc>
        <w:tc>
          <w:tcPr>
            <w:tcW w:type="dxa" w:w="4032"/>
          </w:tcPr>
          <w:p>
            <w:pPr>
              <w:spacing w:after="40"/>
            </w:pPr>
            <w:r/>
            <w:r>
              <w:rPr>
                <w:sz w:val="18"/>
              </w:rPr>
              <w:t>database/schemas/</w:t>
            </w:r>
          </w:p>
        </w:tc>
      </w:tr>
      <w:tr>
        <w:tc>
          <w:tcPr>
            <w:tcW w:type="dxa" w:w="720"/>
          </w:tcPr>
          <w:p>
            <w:pPr>
              <w:spacing w:after="40"/>
            </w:pPr>
            <w:r/>
            <w:r>
              <w:rPr>
                <w:sz w:val="18"/>
              </w:rPr>
              <w:t>B-7</w:t>
            </w:r>
          </w:p>
        </w:tc>
        <w:tc>
          <w:tcPr>
            <w:tcW w:type="dxa" w:w="5184"/>
          </w:tcPr>
          <w:p>
            <w:pPr>
              <w:spacing w:after="40"/>
            </w:pPr>
            <w:r/>
            <w:r>
              <w:rPr>
                <w:sz w:val="18"/>
              </w:rPr>
              <w:t>Cognito user pool integration and JWT authorizer wiring</w:t>
            </w:r>
          </w:p>
        </w:tc>
        <w:tc>
          <w:tcPr>
            <w:tcW w:type="dxa" w:w="4032"/>
          </w:tcPr>
          <w:p>
            <w:pPr>
              <w:spacing w:after="40"/>
            </w:pPr>
            <w:r/>
            <w:r>
              <w:rPr>
                <w:sz w:val="18"/>
              </w:rPr>
              <w:t>backend/api/</w:t>
            </w:r>
          </w:p>
        </w:tc>
      </w:tr>
      <w:tr>
        <w:tc>
          <w:tcPr>
            <w:tcW w:type="dxa" w:w="720"/>
          </w:tcPr>
          <w:p>
            <w:pPr>
              <w:spacing w:after="40"/>
            </w:pPr>
            <w:r/>
            <w:r>
              <w:rPr>
                <w:sz w:val="18"/>
              </w:rPr>
              <w:t>B-8</w:t>
            </w:r>
          </w:p>
        </w:tc>
        <w:tc>
          <w:tcPr>
            <w:tcW w:type="dxa" w:w="5184"/>
          </w:tcPr>
          <w:p>
            <w:pPr>
              <w:spacing w:after="40"/>
            </w:pPr>
            <w:r/>
            <w:r>
              <w:rPr>
                <w:sz w:val="18"/>
              </w:rPr>
              <w:t>Integration tests with moto; load-test harness</w:t>
            </w:r>
          </w:p>
        </w:tc>
        <w:tc>
          <w:tcPr>
            <w:tcW w:type="dxa" w:w="4032"/>
          </w:tcPr>
          <w:p>
            <w:pPr>
              <w:spacing w:after="40"/>
            </w:pPr>
            <w:r/>
            <w:r>
              <w:rPr>
                <w:sz w:val="18"/>
              </w:rPr>
              <w:t>tests/integration/</w:t>
            </w:r>
          </w:p>
        </w:tc>
      </w:tr>
    </w:tbl>
    <w:p>
      <w:pPr>
        <w:spacing w:after="80"/>
      </w:pPr>
    </w:p>
    <w:p>
      <w:pPr>
        <w:spacing w:after="120"/>
      </w:pPr>
      <w:r>
        <w:rPr>
          <w:b w:val="0"/>
          <w:i/>
          <w:sz w:val="20"/>
        </w:rPr>
        <w:t>Also responsible for end-to-end system integration and for keeping the deployed stack within the AWS Free Tier.</w:t>
      </w:r>
    </w:p>
    <w:p>
      <w:pPr>
        <w:pStyle w:val="Heading2"/>
        <w:spacing w:before="200" w:after="120"/>
      </w:pPr>
      <w:r>
        <w:t>9.2  Monis Raza (23BIT228) — AI/ML &amp; Edge Intelligence</w:t>
      </w:r>
    </w:p>
    <w:tbl>
      <w:tblPr>
        <w:tblStyle w:val="TableGrid"/>
        <w:tblW w:type="auto" w:w="0"/>
        <w:jc w:val="center"/>
        <w:tblLayout w:type="fixed"/>
        <w:tblLook w:firstColumn="1" w:firstRow="1" w:lastColumn="0" w:lastRow="0" w:noHBand="0" w:noVBand="1" w:val="04A0"/>
        <w:tblLayout w:type="fixed"/>
      </w:tblPr>
      <w:tblGrid>
        <w:gridCol w:w="720"/>
        <w:gridCol w:w="5184"/>
        <w:gridCol w:w="4032"/>
      </w:tblGrid>
      <w:tr>
        <w:tc>
          <w:tcPr>
            <w:tcW w:type="dxa" w:w="720"/>
            <w:shd w:val="clear" w:fill="D9E3F0"/>
          </w:tcPr>
          <w:p>
            <w:r/>
            <w:r>
              <w:rPr>
                <w:b/>
                <w:sz w:val="18"/>
              </w:rPr>
              <w:t>ID</w:t>
            </w:r>
          </w:p>
        </w:tc>
        <w:tc>
          <w:tcPr>
            <w:tcW w:type="dxa" w:w="5184"/>
            <w:shd w:val="clear" w:fill="D9E3F0"/>
          </w:tcPr>
          <w:p>
            <w:r/>
            <w:r>
              <w:rPr>
                <w:b/>
                <w:sz w:val="18"/>
              </w:rPr>
              <w:t>Task</w:t>
            </w:r>
          </w:p>
        </w:tc>
        <w:tc>
          <w:tcPr>
            <w:tcW w:type="dxa" w:w="4032"/>
            <w:shd w:val="clear" w:fill="D9E3F0"/>
          </w:tcPr>
          <w:p>
            <w:r/>
            <w:r>
              <w:rPr>
                <w:b/>
                <w:sz w:val="18"/>
              </w:rPr>
              <w:t>Deliverable</w:t>
            </w:r>
          </w:p>
        </w:tc>
      </w:tr>
      <w:tr>
        <w:tc>
          <w:tcPr>
            <w:tcW w:type="dxa" w:w="720"/>
          </w:tcPr>
          <w:p>
            <w:pPr>
              <w:spacing w:after="40"/>
            </w:pPr>
            <w:r/>
            <w:r>
              <w:rPr>
                <w:sz w:val="18"/>
              </w:rPr>
              <w:t>M-1</w:t>
            </w:r>
          </w:p>
        </w:tc>
        <w:tc>
          <w:tcPr>
            <w:tcW w:type="dxa" w:w="5184"/>
          </w:tcPr>
          <w:p>
            <w:pPr>
              <w:spacing w:after="40"/>
            </w:pPr>
            <w:r/>
            <w:r>
              <w:rPr>
                <w:sz w:val="18"/>
              </w:rPr>
              <w:t>Acquire and document MIT-BIH, PTB-XL and WESAD; write download scripts</w:t>
            </w:r>
          </w:p>
        </w:tc>
        <w:tc>
          <w:tcPr>
            <w:tcW w:type="dxa" w:w="4032"/>
          </w:tcPr>
          <w:p>
            <w:pPr>
              <w:spacing w:after="40"/>
            </w:pPr>
            <w:r/>
            <w:r>
              <w:rPr>
                <w:sz w:val="18"/>
              </w:rPr>
              <w:t>dataset/, ai-models/preprocessing/</w:t>
            </w:r>
          </w:p>
        </w:tc>
      </w:tr>
      <w:tr>
        <w:tc>
          <w:tcPr>
            <w:tcW w:type="dxa" w:w="720"/>
          </w:tcPr>
          <w:p>
            <w:pPr>
              <w:spacing w:after="40"/>
            </w:pPr>
            <w:r/>
            <w:r>
              <w:rPr>
                <w:sz w:val="18"/>
              </w:rPr>
              <w:t>M-2</w:t>
            </w:r>
          </w:p>
        </w:tc>
        <w:tc>
          <w:tcPr>
            <w:tcW w:type="dxa" w:w="5184"/>
          </w:tcPr>
          <w:p>
            <w:pPr>
              <w:spacing w:after="40"/>
            </w:pPr>
            <w:r/>
            <w:r>
              <w:rPr>
                <w:sz w:val="18"/>
              </w:rPr>
              <w:t>Preprocessing pipeline: filtering, resampling, windowing, normalisation</w:t>
            </w:r>
          </w:p>
        </w:tc>
        <w:tc>
          <w:tcPr>
            <w:tcW w:type="dxa" w:w="4032"/>
          </w:tcPr>
          <w:p>
            <w:pPr>
              <w:spacing w:after="40"/>
            </w:pPr>
            <w:r/>
            <w:r>
              <w:rPr>
                <w:sz w:val="18"/>
              </w:rPr>
              <w:t>ai-models/preprocessing/</w:t>
            </w:r>
          </w:p>
        </w:tc>
      </w:tr>
      <w:tr>
        <w:tc>
          <w:tcPr>
            <w:tcW w:type="dxa" w:w="720"/>
          </w:tcPr>
          <w:p>
            <w:pPr>
              <w:spacing w:after="40"/>
            </w:pPr>
            <w:r/>
            <w:r>
              <w:rPr>
                <w:sz w:val="18"/>
              </w:rPr>
              <w:t>M-3</w:t>
            </w:r>
          </w:p>
        </w:tc>
        <w:tc>
          <w:tcPr>
            <w:tcW w:type="dxa" w:w="5184"/>
          </w:tcPr>
          <w:p>
            <w:pPr>
              <w:spacing w:after="40"/>
            </w:pPr>
            <w:r/>
            <w:r>
              <w:rPr>
                <w:sz w:val="18"/>
              </w:rPr>
              <w:t>Baseline models (threshold rules, Isolation Forest) for comparison</w:t>
            </w:r>
          </w:p>
        </w:tc>
        <w:tc>
          <w:tcPr>
            <w:tcW w:type="dxa" w:w="4032"/>
          </w:tcPr>
          <w:p>
            <w:pPr>
              <w:spacing w:after="40"/>
            </w:pPr>
            <w:r/>
            <w:r>
              <w:rPr>
                <w:sz w:val="18"/>
              </w:rPr>
              <w:t>ai-models/notebooks/01_baselines.ipynb</w:t>
            </w:r>
          </w:p>
        </w:tc>
      </w:tr>
      <w:tr>
        <w:tc>
          <w:tcPr>
            <w:tcW w:type="dxa" w:w="720"/>
          </w:tcPr>
          <w:p>
            <w:pPr>
              <w:spacing w:after="40"/>
            </w:pPr>
            <w:r/>
            <w:r>
              <w:rPr>
                <w:sz w:val="18"/>
              </w:rPr>
              <w:t>M-4</w:t>
            </w:r>
          </w:p>
        </w:tc>
        <w:tc>
          <w:tcPr>
            <w:tcW w:type="dxa" w:w="5184"/>
          </w:tcPr>
          <w:p>
            <w:pPr>
              <w:spacing w:after="40"/>
            </w:pPr>
            <w:r/>
            <w:r>
              <w:rPr>
                <w:sz w:val="18"/>
              </w:rPr>
              <w:t>1-D convolutional autoencoder; training and threshold selection</w:t>
            </w:r>
          </w:p>
        </w:tc>
        <w:tc>
          <w:tcPr>
            <w:tcW w:type="dxa" w:w="4032"/>
          </w:tcPr>
          <w:p>
            <w:pPr>
              <w:spacing w:after="40"/>
            </w:pPr>
            <w:r/>
            <w:r>
              <w:rPr>
                <w:sz w:val="18"/>
              </w:rPr>
              <w:t>ai-models/training/train_autoencoder.py</w:t>
            </w:r>
          </w:p>
        </w:tc>
      </w:tr>
      <w:tr>
        <w:tc>
          <w:tcPr>
            <w:tcW w:type="dxa" w:w="720"/>
          </w:tcPr>
          <w:p>
            <w:pPr>
              <w:spacing w:after="40"/>
            </w:pPr>
            <w:r/>
            <w:r>
              <w:rPr>
                <w:sz w:val="18"/>
              </w:rPr>
              <w:t>M-5</w:t>
            </w:r>
          </w:p>
        </w:tc>
        <w:tc>
          <w:tcPr>
            <w:tcW w:type="dxa" w:w="5184"/>
          </w:tcPr>
          <w:p>
            <w:pPr>
              <w:spacing w:after="40"/>
            </w:pPr>
            <w:r/>
            <w:r>
              <w:rPr>
                <w:sz w:val="18"/>
              </w:rPr>
              <w:t>INT8 post-training quantisation to TFLite; verify accuracy delta &lt; 2 %</w:t>
            </w:r>
          </w:p>
        </w:tc>
        <w:tc>
          <w:tcPr>
            <w:tcW w:type="dxa" w:w="4032"/>
          </w:tcPr>
          <w:p>
            <w:pPr>
              <w:spacing w:after="40"/>
            </w:pPr>
            <w:r/>
            <w:r>
              <w:rPr>
                <w:sz w:val="18"/>
              </w:rPr>
              <w:t>ai-models/models/</w:t>
            </w:r>
          </w:p>
        </w:tc>
      </w:tr>
      <w:tr>
        <w:tc>
          <w:tcPr>
            <w:tcW w:type="dxa" w:w="720"/>
          </w:tcPr>
          <w:p>
            <w:pPr>
              <w:spacing w:after="40"/>
            </w:pPr>
            <w:r/>
            <w:r>
              <w:rPr>
                <w:sz w:val="18"/>
              </w:rPr>
              <w:t>M-6</w:t>
            </w:r>
          </w:p>
        </w:tc>
        <w:tc>
          <w:tcPr>
            <w:tcW w:type="dxa" w:w="5184"/>
          </w:tcPr>
          <w:p>
            <w:pPr>
              <w:spacing w:after="40"/>
            </w:pPr>
            <w:r/>
            <w:r>
              <w:rPr>
                <w:sz w:val="18"/>
              </w:rPr>
              <w:t>Edge inference runtime and store-and-forward MQTT publisher</w:t>
            </w:r>
          </w:p>
        </w:tc>
        <w:tc>
          <w:tcPr>
            <w:tcW w:type="dxa" w:w="4032"/>
          </w:tcPr>
          <w:p>
            <w:pPr>
              <w:spacing w:after="40"/>
            </w:pPr>
            <w:r/>
            <w:r>
              <w:rPr>
                <w:sz w:val="18"/>
              </w:rPr>
              <w:t>edge/edge_inference/, edge/simulator/</w:t>
            </w:r>
          </w:p>
        </w:tc>
      </w:tr>
      <w:tr>
        <w:tc>
          <w:tcPr>
            <w:tcW w:type="dxa" w:w="720"/>
          </w:tcPr>
          <w:p>
            <w:pPr>
              <w:spacing w:after="40"/>
            </w:pPr>
            <w:r/>
            <w:r>
              <w:rPr>
                <w:sz w:val="18"/>
              </w:rPr>
              <w:t>M-7</w:t>
            </w:r>
          </w:p>
        </w:tc>
        <w:tc>
          <w:tcPr>
            <w:tcW w:type="dxa" w:w="5184"/>
          </w:tcPr>
          <w:p>
            <w:pPr>
              <w:spacing w:after="40"/>
            </w:pPr>
            <w:r/>
            <w:r>
              <w:rPr>
                <w:sz w:val="18"/>
              </w:rPr>
              <w:t>Cloud-side confirmation model packaged for AWS Lambda</w:t>
            </w:r>
          </w:p>
        </w:tc>
        <w:tc>
          <w:tcPr>
            <w:tcW w:type="dxa" w:w="4032"/>
          </w:tcPr>
          <w:p>
            <w:pPr>
              <w:spacing w:after="40"/>
            </w:pPr>
            <w:r/>
            <w:r>
              <w:rPr>
                <w:sz w:val="18"/>
              </w:rPr>
              <w:t>ai-models/models/cloud/</w:t>
            </w:r>
          </w:p>
        </w:tc>
      </w:tr>
      <w:tr>
        <w:tc>
          <w:tcPr>
            <w:tcW w:type="dxa" w:w="720"/>
          </w:tcPr>
          <w:p>
            <w:pPr>
              <w:spacing w:after="40"/>
            </w:pPr>
            <w:r/>
            <w:r>
              <w:rPr>
                <w:sz w:val="18"/>
              </w:rPr>
              <w:t>M-8</w:t>
            </w:r>
          </w:p>
        </w:tc>
        <w:tc>
          <w:tcPr>
            <w:tcW w:type="dxa" w:w="5184"/>
          </w:tcPr>
          <w:p>
            <w:pPr>
              <w:spacing w:after="40"/>
            </w:pPr>
            <w:r/>
            <w:r>
              <w:rPr>
                <w:sz w:val="18"/>
              </w:rPr>
              <w:t>Model evaluation: precision, recall, F1, ROC-AUC, confusion matrices</w:t>
            </w:r>
          </w:p>
        </w:tc>
        <w:tc>
          <w:tcPr>
            <w:tcW w:type="dxa" w:w="4032"/>
          </w:tcPr>
          <w:p>
            <w:pPr>
              <w:spacing w:after="40"/>
            </w:pPr>
            <w:r/>
            <w:r>
              <w:rPr>
                <w:sz w:val="18"/>
              </w:rPr>
              <w:t>results/benchmarks/model_eval.md</w:t>
            </w:r>
          </w:p>
        </w:tc>
      </w:tr>
    </w:tbl>
    <w:p>
      <w:pPr>
        <w:spacing w:after="80"/>
      </w:pPr>
    </w:p>
    <w:p>
      <w:pPr>
        <w:pStyle w:val="Heading2"/>
        <w:spacing w:before="200" w:after="120"/>
      </w:pPr>
      <w:r>
        <w:t>9.3  Rudra Srivastav (23BIT174) — Frontend, Visualisation &amp; Documentation</w:t>
      </w:r>
    </w:p>
    <w:tbl>
      <w:tblPr>
        <w:tblStyle w:val="TableGrid"/>
        <w:tblW w:type="auto" w:w="0"/>
        <w:jc w:val="center"/>
        <w:tblLayout w:type="fixed"/>
        <w:tblLook w:firstColumn="1" w:firstRow="1" w:lastColumn="0" w:lastRow="0" w:noHBand="0" w:noVBand="1" w:val="04A0"/>
        <w:tblLayout w:type="fixed"/>
      </w:tblPr>
      <w:tblGrid>
        <w:gridCol w:w="720"/>
        <w:gridCol w:w="5184"/>
        <w:gridCol w:w="4032"/>
      </w:tblGrid>
      <w:tr>
        <w:tc>
          <w:tcPr>
            <w:tcW w:type="dxa" w:w="720"/>
            <w:shd w:val="clear" w:fill="D9E3F0"/>
          </w:tcPr>
          <w:p>
            <w:r/>
            <w:r>
              <w:rPr>
                <w:b/>
                <w:sz w:val="18"/>
              </w:rPr>
              <w:t>ID</w:t>
            </w:r>
          </w:p>
        </w:tc>
        <w:tc>
          <w:tcPr>
            <w:tcW w:type="dxa" w:w="5184"/>
            <w:shd w:val="clear" w:fill="D9E3F0"/>
          </w:tcPr>
          <w:p>
            <w:r/>
            <w:r>
              <w:rPr>
                <w:b/>
                <w:sz w:val="18"/>
              </w:rPr>
              <w:t>Task</w:t>
            </w:r>
          </w:p>
        </w:tc>
        <w:tc>
          <w:tcPr>
            <w:tcW w:type="dxa" w:w="4032"/>
            <w:shd w:val="clear" w:fill="D9E3F0"/>
          </w:tcPr>
          <w:p>
            <w:r/>
            <w:r>
              <w:rPr>
                <w:b/>
                <w:sz w:val="18"/>
              </w:rPr>
              <w:t>Deliverable</w:t>
            </w:r>
          </w:p>
        </w:tc>
      </w:tr>
      <w:tr>
        <w:tc>
          <w:tcPr>
            <w:tcW w:type="dxa" w:w="720"/>
          </w:tcPr>
          <w:p>
            <w:pPr>
              <w:spacing w:after="40"/>
            </w:pPr>
            <w:r/>
            <w:r>
              <w:rPr>
                <w:sz w:val="18"/>
              </w:rPr>
              <w:t>F-1</w:t>
            </w:r>
          </w:p>
        </w:tc>
        <w:tc>
          <w:tcPr>
            <w:tcW w:type="dxa" w:w="5184"/>
          </w:tcPr>
          <w:p>
            <w:pPr>
              <w:spacing w:after="40"/>
            </w:pPr>
            <w:r/>
            <w:r>
              <w:rPr>
                <w:sz w:val="18"/>
              </w:rPr>
              <w:t>React + Vite application scaffold, routing and theming</w:t>
            </w:r>
          </w:p>
        </w:tc>
        <w:tc>
          <w:tcPr>
            <w:tcW w:type="dxa" w:w="4032"/>
          </w:tcPr>
          <w:p>
            <w:pPr>
              <w:spacing w:after="40"/>
            </w:pPr>
            <w:r/>
            <w:r>
              <w:rPr>
                <w:sz w:val="18"/>
              </w:rPr>
              <w:t>frontend/</w:t>
            </w:r>
          </w:p>
        </w:tc>
      </w:tr>
      <w:tr>
        <w:tc>
          <w:tcPr>
            <w:tcW w:type="dxa" w:w="720"/>
          </w:tcPr>
          <w:p>
            <w:pPr>
              <w:spacing w:after="40"/>
            </w:pPr>
            <w:r/>
            <w:r>
              <w:rPr>
                <w:sz w:val="18"/>
              </w:rPr>
              <w:t>F-2</w:t>
            </w:r>
          </w:p>
        </w:tc>
        <w:tc>
          <w:tcPr>
            <w:tcW w:type="dxa" w:w="5184"/>
          </w:tcPr>
          <w:p>
            <w:pPr>
              <w:spacing w:after="40"/>
            </w:pPr>
            <w:r/>
            <w:r>
              <w:rPr>
                <w:sz w:val="18"/>
              </w:rPr>
              <w:t>Cognito-backed login and logout flow</w:t>
            </w:r>
          </w:p>
        </w:tc>
        <w:tc>
          <w:tcPr>
            <w:tcW w:type="dxa" w:w="4032"/>
          </w:tcPr>
          <w:p>
            <w:pPr>
              <w:spacing w:after="40"/>
            </w:pPr>
            <w:r/>
            <w:r>
              <w:rPr>
                <w:sz w:val="18"/>
              </w:rPr>
              <w:t>frontend/src/services/auth.js</w:t>
            </w:r>
          </w:p>
        </w:tc>
      </w:tr>
      <w:tr>
        <w:tc>
          <w:tcPr>
            <w:tcW w:type="dxa" w:w="720"/>
          </w:tcPr>
          <w:p>
            <w:pPr>
              <w:spacing w:after="40"/>
            </w:pPr>
            <w:r/>
            <w:r>
              <w:rPr>
                <w:sz w:val="18"/>
              </w:rPr>
              <w:t>F-3</w:t>
            </w:r>
          </w:p>
        </w:tc>
        <w:tc>
          <w:tcPr>
            <w:tcW w:type="dxa" w:w="5184"/>
          </w:tcPr>
          <w:p>
            <w:pPr>
              <w:spacing w:after="40"/>
            </w:pPr>
            <w:r/>
            <w:r>
              <w:rPr>
                <w:sz w:val="18"/>
              </w:rPr>
              <w:t>Live vitals view with polling updates</w:t>
            </w:r>
          </w:p>
        </w:tc>
        <w:tc>
          <w:tcPr>
            <w:tcW w:type="dxa" w:w="4032"/>
          </w:tcPr>
          <w:p>
            <w:pPr>
              <w:spacing w:after="40"/>
            </w:pPr>
            <w:r/>
            <w:r>
              <w:rPr>
                <w:sz w:val="18"/>
              </w:rPr>
              <w:t>frontend/src/pages/LiveVitals.jsx</w:t>
            </w:r>
          </w:p>
        </w:tc>
      </w:tr>
      <w:tr>
        <w:tc>
          <w:tcPr>
            <w:tcW w:type="dxa" w:w="720"/>
          </w:tcPr>
          <w:p>
            <w:pPr>
              <w:spacing w:after="40"/>
            </w:pPr>
            <w:r/>
            <w:r>
              <w:rPr>
                <w:sz w:val="18"/>
              </w:rPr>
              <w:t>F-4</w:t>
            </w:r>
          </w:p>
        </w:tc>
        <w:tc>
          <w:tcPr>
            <w:tcW w:type="dxa" w:w="5184"/>
          </w:tcPr>
          <w:p>
            <w:pPr>
              <w:spacing w:after="40"/>
            </w:pPr>
            <w:r/>
            <w:r>
              <w:rPr>
                <w:sz w:val="18"/>
              </w:rPr>
              <w:t>Historical trends with a time-range picker</w:t>
            </w:r>
          </w:p>
        </w:tc>
        <w:tc>
          <w:tcPr>
            <w:tcW w:type="dxa" w:w="4032"/>
          </w:tcPr>
          <w:p>
            <w:pPr>
              <w:spacing w:after="40"/>
            </w:pPr>
            <w:r/>
            <w:r>
              <w:rPr>
                <w:sz w:val="18"/>
              </w:rPr>
              <w:t>frontend/src/pages/Trends.jsx</w:t>
            </w:r>
          </w:p>
        </w:tc>
      </w:tr>
      <w:tr>
        <w:tc>
          <w:tcPr>
            <w:tcW w:type="dxa" w:w="720"/>
          </w:tcPr>
          <w:p>
            <w:pPr>
              <w:spacing w:after="40"/>
            </w:pPr>
            <w:r/>
            <w:r>
              <w:rPr>
                <w:sz w:val="18"/>
              </w:rPr>
              <w:t>F-5</w:t>
            </w:r>
          </w:p>
        </w:tc>
        <w:tc>
          <w:tcPr>
            <w:tcW w:type="dxa" w:w="5184"/>
          </w:tcPr>
          <w:p>
            <w:pPr>
              <w:spacing w:after="40"/>
            </w:pPr>
            <w:r/>
            <w:r>
              <w:rPr>
                <w:sz w:val="18"/>
              </w:rPr>
              <w:t>Alert timeline and acknowledgement action</w:t>
            </w:r>
          </w:p>
        </w:tc>
        <w:tc>
          <w:tcPr>
            <w:tcW w:type="dxa" w:w="4032"/>
          </w:tcPr>
          <w:p>
            <w:pPr>
              <w:spacing w:after="40"/>
            </w:pPr>
            <w:r/>
            <w:r>
              <w:rPr>
                <w:sz w:val="18"/>
              </w:rPr>
              <w:t>frontend/src/pages/Alerts.jsx</w:t>
            </w:r>
          </w:p>
        </w:tc>
      </w:tr>
      <w:tr>
        <w:tc>
          <w:tcPr>
            <w:tcW w:type="dxa" w:w="720"/>
          </w:tcPr>
          <w:p>
            <w:pPr>
              <w:spacing w:after="40"/>
            </w:pPr>
            <w:r/>
            <w:r>
              <w:rPr>
                <w:sz w:val="18"/>
              </w:rPr>
              <w:t>F-6</w:t>
            </w:r>
          </w:p>
        </w:tc>
        <w:tc>
          <w:tcPr>
            <w:tcW w:type="dxa" w:w="5184"/>
          </w:tcPr>
          <w:p>
            <w:pPr>
              <w:spacing w:after="40"/>
            </w:pPr>
            <w:r/>
            <w:r>
              <w:rPr>
                <w:sz w:val="18"/>
              </w:rPr>
              <w:t>Device management view</w:t>
            </w:r>
          </w:p>
        </w:tc>
        <w:tc>
          <w:tcPr>
            <w:tcW w:type="dxa" w:w="4032"/>
          </w:tcPr>
          <w:p>
            <w:pPr>
              <w:spacing w:after="40"/>
            </w:pPr>
            <w:r/>
            <w:r>
              <w:rPr>
                <w:sz w:val="18"/>
              </w:rPr>
              <w:t>frontend/src/pages/Devices.jsx</w:t>
            </w:r>
          </w:p>
        </w:tc>
      </w:tr>
      <w:tr>
        <w:tc>
          <w:tcPr>
            <w:tcW w:type="dxa" w:w="720"/>
          </w:tcPr>
          <w:p>
            <w:pPr>
              <w:spacing w:after="40"/>
            </w:pPr>
            <w:r/>
            <w:r>
              <w:rPr>
                <w:sz w:val="18"/>
              </w:rPr>
              <w:t>F-7</w:t>
            </w:r>
          </w:p>
        </w:tc>
        <w:tc>
          <w:tcPr>
            <w:tcW w:type="dxa" w:w="5184"/>
          </w:tcPr>
          <w:p>
            <w:pPr>
              <w:spacing w:after="40"/>
            </w:pPr>
            <w:r/>
            <w:r>
              <w:rPr>
                <w:sz w:val="18"/>
              </w:rPr>
              <w:t>Literature survey and research-gap documents</w:t>
            </w:r>
          </w:p>
        </w:tc>
        <w:tc>
          <w:tcPr>
            <w:tcW w:type="dxa" w:w="4032"/>
          </w:tcPr>
          <w:p>
            <w:pPr>
              <w:spacing w:after="40"/>
            </w:pPr>
            <w:r/>
            <w:r>
              <w:rPr>
                <w:sz w:val="18"/>
              </w:rPr>
              <w:t>docs/literature-survey/</w:t>
            </w:r>
          </w:p>
        </w:tc>
      </w:tr>
      <w:tr>
        <w:tc>
          <w:tcPr>
            <w:tcW w:type="dxa" w:w="720"/>
          </w:tcPr>
          <w:p>
            <w:pPr>
              <w:spacing w:after="40"/>
            </w:pPr>
            <w:r/>
            <w:r>
              <w:rPr>
                <w:sz w:val="18"/>
              </w:rPr>
              <w:t>F-8</w:t>
            </w:r>
          </w:p>
        </w:tc>
        <w:tc>
          <w:tcPr>
            <w:tcW w:type="dxa" w:w="5184"/>
          </w:tcPr>
          <w:p>
            <w:pPr>
              <w:spacing w:after="40"/>
            </w:pPr>
            <w:r/>
            <w:r>
              <w:rPr>
                <w:sz w:val="18"/>
              </w:rPr>
              <w:t>Architecture diagrams, final report, slide deck and demo script</w:t>
            </w:r>
          </w:p>
        </w:tc>
        <w:tc>
          <w:tcPr>
            <w:tcW w:type="dxa" w:w="4032"/>
          </w:tcPr>
          <w:p>
            <w:pPr>
              <w:spacing w:after="40"/>
            </w:pPr>
            <w:r/>
            <w:r>
              <w:rPr>
                <w:sz w:val="18"/>
              </w:rPr>
              <w:t>docs/architecture/, presentation/</w:t>
            </w:r>
          </w:p>
        </w:tc>
      </w:tr>
    </w:tbl>
    <w:p>
      <w:pPr>
        <w:spacing w:after="80"/>
      </w:pPr>
    </w:p>
    <w:p>
      <w:pPr>
        <w:pStyle w:val="Heading2"/>
        <w:spacing w:before="200" w:after="120"/>
      </w:pPr>
      <w:r>
        <w:t>9.4  Twelve-week timeline</w:t>
      </w:r>
    </w:p>
    <w:tbl>
      <w:tblPr>
        <w:tblStyle w:val="TableGrid"/>
        <w:tblW w:type="auto" w:w="0"/>
        <w:jc w:val="center"/>
        <w:tblLayout w:type="fixed"/>
        <w:tblLook w:firstColumn="1" w:firstRow="1" w:lastColumn="0" w:lastRow="0" w:noHBand="0" w:noVBand="1" w:val="04A0"/>
        <w:tblLayout w:type="fixed"/>
      </w:tblPr>
      <w:tblGrid>
        <w:gridCol w:w="864"/>
        <w:gridCol w:w="6048"/>
        <w:gridCol w:w="3024"/>
      </w:tblGrid>
      <w:tr>
        <w:tc>
          <w:tcPr>
            <w:tcW w:type="dxa" w:w="864"/>
            <w:shd w:val="clear" w:fill="D9E3F0"/>
          </w:tcPr>
          <w:p>
            <w:r/>
            <w:r>
              <w:rPr>
                <w:b/>
                <w:sz w:val="19"/>
              </w:rPr>
              <w:t>Week</w:t>
            </w:r>
          </w:p>
        </w:tc>
        <w:tc>
          <w:tcPr>
            <w:tcW w:type="dxa" w:w="6048"/>
            <w:shd w:val="clear" w:fill="D9E3F0"/>
          </w:tcPr>
          <w:p>
            <w:r/>
            <w:r>
              <w:rPr>
                <w:b/>
                <w:sz w:val="19"/>
              </w:rPr>
              <w:t>Milestone</w:t>
            </w:r>
          </w:p>
        </w:tc>
        <w:tc>
          <w:tcPr>
            <w:tcW w:type="dxa" w:w="3024"/>
            <w:shd w:val="clear" w:fill="D9E3F0"/>
          </w:tcPr>
          <w:p>
            <w:r/>
            <w:r>
              <w:rPr>
                <w:b/>
                <w:sz w:val="19"/>
              </w:rPr>
              <w:t>Owner</w:t>
            </w:r>
          </w:p>
        </w:tc>
      </w:tr>
      <w:tr>
        <w:tc>
          <w:tcPr>
            <w:tcW w:type="dxa" w:w="864"/>
          </w:tcPr>
          <w:p>
            <w:pPr>
              <w:spacing w:after="40"/>
            </w:pPr>
            <w:r/>
            <w:r>
              <w:rPr>
                <w:sz w:val="19"/>
              </w:rPr>
              <w:t>1</w:t>
            </w:r>
          </w:p>
        </w:tc>
        <w:tc>
          <w:tcPr>
            <w:tcW w:type="dxa" w:w="6048"/>
          </w:tcPr>
          <w:p>
            <w:pPr>
              <w:spacing w:after="40"/>
            </w:pPr>
            <w:r/>
            <w:r>
              <w:rPr>
                <w:sz w:val="19"/>
              </w:rPr>
              <w:t>Problem finalisation and literature survey</w:t>
            </w:r>
          </w:p>
        </w:tc>
        <w:tc>
          <w:tcPr>
            <w:tcW w:type="dxa" w:w="3024"/>
          </w:tcPr>
          <w:p>
            <w:pPr>
              <w:spacing w:after="40"/>
            </w:pPr>
            <w:r/>
            <w:r>
              <w:rPr>
                <w:sz w:val="19"/>
              </w:rPr>
              <w:t>Rudra (all contribute)</w:t>
            </w:r>
          </w:p>
        </w:tc>
      </w:tr>
      <w:tr>
        <w:tc>
          <w:tcPr>
            <w:tcW w:type="dxa" w:w="864"/>
          </w:tcPr>
          <w:p>
            <w:pPr>
              <w:spacing w:after="40"/>
            </w:pPr>
            <w:r/>
            <w:r>
              <w:rPr>
                <w:sz w:val="19"/>
              </w:rPr>
              <w:t>2</w:t>
            </w:r>
          </w:p>
        </w:tc>
        <w:tc>
          <w:tcPr>
            <w:tcW w:type="dxa" w:w="6048"/>
          </w:tcPr>
          <w:p>
            <w:pPr>
              <w:spacing w:after="40"/>
            </w:pPr>
            <w:r/>
            <w:r>
              <w:rPr>
                <w:sz w:val="19"/>
              </w:rPr>
              <w:t>Architecture design, repository scaffold, work split</w:t>
            </w:r>
          </w:p>
        </w:tc>
        <w:tc>
          <w:tcPr>
            <w:tcW w:type="dxa" w:w="3024"/>
          </w:tcPr>
          <w:p>
            <w:pPr>
              <w:spacing w:after="40"/>
            </w:pPr>
            <w:r/>
            <w:r>
              <w:rPr>
                <w:sz w:val="19"/>
              </w:rPr>
              <w:t>Krish (all contribute)</w:t>
            </w:r>
          </w:p>
        </w:tc>
      </w:tr>
      <w:tr>
        <w:tc>
          <w:tcPr>
            <w:tcW w:type="dxa" w:w="864"/>
          </w:tcPr>
          <w:p>
            <w:pPr>
              <w:spacing w:after="40"/>
            </w:pPr>
            <w:r/>
            <w:r>
              <w:rPr>
                <w:sz w:val="19"/>
              </w:rPr>
              <w:t>3</w:t>
            </w:r>
          </w:p>
        </w:tc>
        <w:tc>
          <w:tcPr>
            <w:tcW w:type="dxa" w:w="6048"/>
          </w:tcPr>
          <w:p>
            <w:pPr>
              <w:spacing w:after="40"/>
            </w:pPr>
            <w:r/>
            <w:r>
              <w:rPr>
                <w:sz w:val="19"/>
              </w:rPr>
              <w:t>AWS account, IAM, billing alarms, IoT Core skeleton</w:t>
            </w:r>
          </w:p>
        </w:tc>
        <w:tc>
          <w:tcPr>
            <w:tcW w:type="dxa" w:w="3024"/>
          </w:tcPr>
          <w:p>
            <w:pPr>
              <w:spacing w:after="40"/>
            </w:pPr>
            <w:r/>
            <w:r>
              <w:rPr>
                <w:sz w:val="19"/>
              </w:rPr>
              <w:t>Krish</w:t>
            </w:r>
          </w:p>
        </w:tc>
      </w:tr>
      <w:tr>
        <w:tc>
          <w:tcPr>
            <w:tcW w:type="dxa" w:w="864"/>
          </w:tcPr>
          <w:p>
            <w:pPr>
              <w:spacing w:after="40"/>
            </w:pPr>
            <w:r/>
            <w:r>
              <w:rPr>
                <w:sz w:val="19"/>
              </w:rPr>
              <w:t>4</w:t>
            </w:r>
          </w:p>
        </w:tc>
        <w:tc>
          <w:tcPr>
            <w:tcW w:type="dxa" w:w="6048"/>
          </w:tcPr>
          <w:p>
            <w:pPr>
              <w:spacing w:after="40"/>
            </w:pPr>
            <w:r/>
            <w:r>
              <w:rPr>
                <w:sz w:val="19"/>
              </w:rPr>
              <w:t>Telemetry schema, ingest_handler and DynamoDB tables</w:t>
            </w:r>
          </w:p>
        </w:tc>
        <w:tc>
          <w:tcPr>
            <w:tcW w:type="dxa" w:w="3024"/>
          </w:tcPr>
          <w:p>
            <w:pPr>
              <w:spacing w:after="40"/>
            </w:pPr>
            <w:r/>
            <w:r>
              <w:rPr>
                <w:sz w:val="19"/>
              </w:rPr>
              <w:t>Krish</w:t>
            </w:r>
          </w:p>
        </w:tc>
      </w:tr>
      <w:tr>
        <w:tc>
          <w:tcPr>
            <w:tcW w:type="dxa" w:w="864"/>
          </w:tcPr>
          <w:p>
            <w:pPr>
              <w:spacing w:after="40"/>
            </w:pPr>
            <w:r/>
            <w:r>
              <w:rPr>
                <w:sz w:val="19"/>
              </w:rPr>
              <w:t>5</w:t>
            </w:r>
          </w:p>
        </w:tc>
        <w:tc>
          <w:tcPr>
            <w:tcW w:type="dxa" w:w="6048"/>
          </w:tcPr>
          <w:p>
            <w:pPr>
              <w:spacing w:after="40"/>
            </w:pPr>
            <w:r/>
            <w:r>
              <w:rPr>
                <w:sz w:val="19"/>
              </w:rPr>
              <w:t>Dataset acquisition and preprocessing pipeline</w:t>
            </w:r>
          </w:p>
        </w:tc>
        <w:tc>
          <w:tcPr>
            <w:tcW w:type="dxa" w:w="3024"/>
          </w:tcPr>
          <w:p>
            <w:pPr>
              <w:spacing w:after="40"/>
            </w:pPr>
            <w:r/>
            <w:r>
              <w:rPr>
                <w:sz w:val="19"/>
              </w:rPr>
              <w:t>Monis</w:t>
            </w:r>
          </w:p>
        </w:tc>
      </w:tr>
      <w:tr>
        <w:tc>
          <w:tcPr>
            <w:tcW w:type="dxa" w:w="864"/>
          </w:tcPr>
          <w:p>
            <w:pPr>
              <w:spacing w:after="40"/>
            </w:pPr>
            <w:r/>
            <w:r>
              <w:rPr>
                <w:sz w:val="19"/>
              </w:rPr>
              <w:t>6</w:t>
            </w:r>
          </w:p>
        </w:tc>
        <w:tc>
          <w:tcPr>
            <w:tcW w:type="dxa" w:w="6048"/>
          </w:tcPr>
          <w:p>
            <w:pPr>
              <w:spacing w:after="40"/>
            </w:pPr>
            <w:r/>
            <w:r>
              <w:rPr>
                <w:sz w:val="19"/>
              </w:rPr>
              <w:t>Edge simulator publishing to IoT Core end to end</w:t>
            </w:r>
          </w:p>
        </w:tc>
        <w:tc>
          <w:tcPr>
            <w:tcW w:type="dxa" w:w="3024"/>
          </w:tcPr>
          <w:p>
            <w:pPr>
              <w:spacing w:after="40"/>
            </w:pPr>
            <w:r/>
            <w:r>
              <w:rPr>
                <w:sz w:val="19"/>
              </w:rPr>
              <w:t>Monis + Krish</w:t>
            </w:r>
          </w:p>
        </w:tc>
      </w:tr>
      <w:tr>
        <w:tc>
          <w:tcPr>
            <w:tcW w:type="dxa" w:w="864"/>
          </w:tcPr>
          <w:p>
            <w:pPr>
              <w:spacing w:after="40"/>
            </w:pPr>
            <w:r/>
            <w:r>
              <w:rPr>
                <w:sz w:val="19"/>
              </w:rPr>
              <w:t>7</w:t>
            </w:r>
          </w:p>
        </w:tc>
        <w:tc>
          <w:tcPr>
            <w:tcW w:type="dxa" w:w="6048"/>
          </w:tcPr>
          <w:p>
            <w:pPr>
              <w:spacing w:after="40"/>
            </w:pPr>
            <w:r/>
            <w:r>
              <w:rPr>
                <w:sz w:val="19"/>
              </w:rPr>
              <w:t>Autoencoder training and quantisation</w:t>
            </w:r>
          </w:p>
        </w:tc>
        <w:tc>
          <w:tcPr>
            <w:tcW w:type="dxa" w:w="3024"/>
          </w:tcPr>
          <w:p>
            <w:pPr>
              <w:spacing w:after="40"/>
            </w:pPr>
            <w:r/>
            <w:r>
              <w:rPr>
                <w:sz w:val="19"/>
              </w:rPr>
              <w:t>Monis</w:t>
            </w:r>
          </w:p>
        </w:tc>
      </w:tr>
      <w:tr>
        <w:tc>
          <w:tcPr>
            <w:tcW w:type="dxa" w:w="864"/>
          </w:tcPr>
          <w:p>
            <w:pPr>
              <w:spacing w:after="40"/>
            </w:pPr>
            <w:r/>
            <w:r>
              <w:rPr>
                <w:sz w:val="19"/>
              </w:rPr>
              <w:t>8</w:t>
            </w:r>
          </w:p>
        </w:tc>
        <w:tc>
          <w:tcPr>
            <w:tcW w:type="dxa" w:w="6048"/>
          </w:tcPr>
          <w:p>
            <w:pPr>
              <w:spacing w:after="40"/>
            </w:pPr>
            <w:r/>
            <w:r>
              <w:rPr>
                <w:sz w:val="19"/>
              </w:rPr>
              <w:t>Anomaly processor and SNS alerting path</w:t>
            </w:r>
          </w:p>
        </w:tc>
        <w:tc>
          <w:tcPr>
            <w:tcW w:type="dxa" w:w="3024"/>
          </w:tcPr>
          <w:p>
            <w:pPr>
              <w:spacing w:after="40"/>
            </w:pPr>
            <w:r/>
            <w:r>
              <w:rPr>
                <w:sz w:val="19"/>
              </w:rPr>
              <w:t>Krish</w:t>
            </w:r>
          </w:p>
        </w:tc>
      </w:tr>
      <w:tr>
        <w:tc>
          <w:tcPr>
            <w:tcW w:type="dxa" w:w="864"/>
          </w:tcPr>
          <w:p>
            <w:pPr>
              <w:spacing w:after="40"/>
            </w:pPr>
            <w:r/>
            <w:r>
              <w:rPr>
                <w:sz w:val="19"/>
              </w:rPr>
              <w:t>9</w:t>
            </w:r>
          </w:p>
        </w:tc>
        <w:tc>
          <w:tcPr>
            <w:tcW w:type="dxa" w:w="6048"/>
          </w:tcPr>
          <w:p>
            <w:pPr>
              <w:spacing w:after="40"/>
            </w:pPr>
            <w:r/>
            <w:r>
              <w:rPr>
                <w:sz w:val="19"/>
              </w:rPr>
              <w:t>REST API and Cognito authentication</w:t>
            </w:r>
          </w:p>
        </w:tc>
        <w:tc>
          <w:tcPr>
            <w:tcW w:type="dxa" w:w="3024"/>
          </w:tcPr>
          <w:p>
            <w:pPr>
              <w:spacing w:after="40"/>
            </w:pPr>
            <w:r/>
            <w:r>
              <w:rPr>
                <w:sz w:val="19"/>
              </w:rPr>
              <w:t>Krish + Rudra</w:t>
            </w:r>
          </w:p>
        </w:tc>
      </w:tr>
      <w:tr>
        <w:tc>
          <w:tcPr>
            <w:tcW w:type="dxa" w:w="864"/>
          </w:tcPr>
          <w:p>
            <w:pPr>
              <w:spacing w:after="40"/>
            </w:pPr>
            <w:r/>
            <w:r>
              <w:rPr>
                <w:sz w:val="19"/>
              </w:rPr>
              <w:t>10</w:t>
            </w:r>
          </w:p>
        </w:tc>
        <w:tc>
          <w:tcPr>
            <w:tcW w:type="dxa" w:w="6048"/>
          </w:tcPr>
          <w:p>
            <w:pPr>
              <w:spacing w:after="40"/>
            </w:pPr>
            <w:r/>
            <w:r>
              <w:rPr>
                <w:sz w:val="19"/>
              </w:rPr>
              <w:t>Dashboard: live view, trends, alerts</w:t>
            </w:r>
          </w:p>
        </w:tc>
        <w:tc>
          <w:tcPr>
            <w:tcW w:type="dxa" w:w="3024"/>
          </w:tcPr>
          <w:p>
            <w:pPr>
              <w:spacing w:after="40"/>
            </w:pPr>
            <w:r/>
            <w:r>
              <w:rPr>
                <w:sz w:val="19"/>
              </w:rPr>
              <w:t>Rudra</w:t>
            </w:r>
          </w:p>
        </w:tc>
      </w:tr>
      <w:tr>
        <w:tc>
          <w:tcPr>
            <w:tcW w:type="dxa" w:w="864"/>
          </w:tcPr>
          <w:p>
            <w:pPr>
              <w:spacing w:after="40"/>
            </w:pPr>
            <w:r/>
            <w:r>
              <w:rPr>
                <w:sz w:val="19"/>
              </w:rPr>
              <w:t>11</w:t>
            </w:r>
          </w:p>
        </w:tc>
        <w:tc>
          <w:tcPr>
            <w:tcW w:type="dxa" w:w="6048"/>
          </w:tcPr>
          <w:p>
            <w:pPr>
              <w:spacing w:after="40"/>
            </w:pPr>
            <w:r/>
            <w:r>
              <w:rPr>
                <w:sz w:val="19"/>
              </w:rPr>
              <w:t>Benchmarking, elasticity demonstration, cost analysis</w:t>
            </w:r>
          </w:p>
        </w:tc>
        <w:tc>
          <w:tcPr>
            <w:tcW w:type="dxa" w:w="3024"/>
          </w:tcPr>
          <w:p>
            <w:pPr>
              <w:spacing w:after="40"/>
            </w:pPr>
            <w:r/>
            <w:r>
              <w:rPr>
                <w:sz w:val="19"/>
              </w:rPr>
              <w:t>Krish + Monis</w:t>
            </w:r>
          </w:p>
        </w:tc>
      </w:tr>
      <w:tr>
        <w:tc>
          <w:tcPr>
            <w:tcW w:type="dxa" w:w="864"/>
          </w:tcPr>
          <w:p>
            <w:pPr>
              <w:spacing w:after="40"/>
            </w:pPr>
            <w:r/>
            <w:r>
              <w:rPr>
                <w:sz w:val="19"/>
              </w:rPr>
              <w:t>12</w:t>
            </w:r>
          </w:p>
        </w:tc>
        <w:tc>
          <w:tcPr>
            <w:tcW w:type="dxa" w:w="6048"/>
          </w:tcPr>
          <w:p>
            <w:pPr>
              <w:spacing w:after="40"/>
            </w:pPr>
            <w:r/>
            <w:r>
              <w:rPr>
                <w:sz w:val="19"/>
              </w:rPr>
              <w:t>Report, slides, demo rehearsal, submission</w:t>
            </w:r>
          </w:p>
        </w:tc>
        <w:tc>
          <w:tcPr>
            <w:tcW w:type="dxa" w:w="3024"/>
          </w:tcPr>
          <w:p>
            <w:pPr>
              <w:spacing w:after="40"/>
            </w:pPr>
            <w:r/>
            <w:r>
              <w:rPr>
                <w:sz w:val="19"/>
              </w:rPr>
              <w:t>All</w:t>
            </w:r>
          </w:p>
        </w:tc>
      </w:tr>
    </w:tbl>
    <w:p>
      <w:pPr>
        <w:spacing w:after="80"/>
      </w:pPr>
    </w:p>
    <w:p>
      <w:r>
        <w:br w:type="page"/>
      </w:r>
    </w:p>
    <w:p>
      <w:pPr>
        <w:pStyle w:val="Heading1"/>
        <w:spacing w:before="280" w:after="120"/>
      </w:pPr>
      <w:r>
        <w:t>10.  Work Completed So Far</w:t>
      </w:r>
    </w:p>
    <w:p>
      <w:pPr>
        <w:spacing w:after="120"/>
      </w:pPr>
      <w:r>
        <w:rPr>
          <w:b w:val="0"/>
          <w:i w:val="0"/>
        </w:rPr>
        <w:t>Code implementation is not required at this stage. Beyond the planning deliverables, we have built a working edge simulator so that the design can be validated end to end before any AWS resources are provisioned. The figures below are genuine output of that code, not illustrations.</w:t>
      </w:r>
    </w:p>
    <w:tbl>
      <w:tblPr>
        <w:tblStyle w:val="TableGrid"/>
        <w:tblW w:type="auto" w:w="0"/>
        <w:jc w:val="center"/>
        <w:tblLayout w:type="fixed"/>
        <w:tblLook w:firstColumn="1" w:firstRow="1" w:lastColumn="0" w:lastRow="0" w:noHBand="0" w:noVBand="1" w:val="04A0"/>
        <w:tblLayout w:type="fixed"/>
      </w:tblPr>
      <w:tblGrid>
        <w:gridCol w:w="6912"/>
        <w:gridCol w:w="3024"/>
      </w:tblGrid>
      <w:tr>
        <w:tc>
          <w:tcPr>
            <w:tcW w:type="dxa" w:w="6912"/>
            <w:shd w:val="clear" w:fill="D9E3F0"/>
          </w:tcPr>
          <w:p>
            <w:r/>
            <w:r>
              <w:rPr>
                <w:b/>
                <w:sz w:val="19"/>
              </w:rPr>
              <w:t>Deliverable</w:t>
            </w:r>
          </w:p>
        </w:tc>
        <w:tc>
          <w:tcPr>
            <w:tcW w:type="dxa" w:w="3024"/>
            <w:shd w:val="clear" w:fill="D9E3F0"/>
          </w:tcPr>
          <w:p>
            <w:r/>
            <w:r>
              <w:rPr>
                <w:b/>
                <w:sz w:val="19"/>
              </w:rPr>
              <w:t>Status</w:t>
            </w:r>
          </w:p>
        </w:tc>
      </w:tr>
      <w:tr>
        <w:tc>
          <w:tcPr>
            <w:tcW w:type="dxa" w:w="6912"/>
          </w:tcPr>
          <w:p>
            <w:pPr>
              <w:spacing w:after="40"/>
            </w:pPr>
            <w:r/>
            <w:r>
              <w:rPr>
                <w:sz w:val="19"/>
              </w:rPr>
              <w:t>Problem definition, objectives, literature survey, research gap</w:t>
            </w:r>
          </w:p>
        </w:tc>
        <w:tc>
          <w:tcPr>
            <w:tcW w:type="dxa" w:w="3024"/>
          </w:tcPr>
          <w:p>
            <w:pPr>
              <w:spacing w:after="40"/>
            </w:pPr>
            <w:r/>
            <w:r>
              <w:rPr>
                <w:sz w:val="19"/>
              </w:rPr>
              <w:t>Complete</w:t>
            </w:r>
          </w:p>
        </w:tc>
      </w:tr>
      <w:tr>
        <w:tc>
          <w:tcPr>
            <w:tcW w:type="dxa" w:w="6912"/>
          </w:tcPr>
          <w:p>
            <w:pPr>
              <w:spacing w:after="40"/>
            </w:pPr>
            <w:r/>
            <w:r>
              <w:rPr>
                <w:sz w:val="19"/>
              </w:rPr>
              <w:t>Proposed architecture, ADRs, non-functional requirements</w:t>
            </w:r>
          </w:p>
        </w:tc>
        <w:tc>
          <w:tcPr>
            <w:tcW w:type="dxa" w:w="3024"/>
          </w:tcPr>
          <w:p>
            <w:pPr>
              <w:spacing w:after="40"/>
            </w:pPr>
            <w:r/>
            <w:r>
              <w:rPr>
                <w:sz w:val="19"/>
              </w:rPr>
              <w:t>Complete</w:t>
            </w:r>
          </w:p>
        </w:tc>
      </w:tr>
      <w:tr>
        <w:tc>
          <w:tcPr>
            <w:tcW w:type="dxa" w:w="6912"/>
          </w:tcPr>
          <w:p>
            <w:pPr>
              <w:spacing w:after="40"/>
            </w:pPr>
            <w:r/>
            <w:r>
              <w:rPr>
                <w:sz w:val="19"/>
              </w:rPr>
              <w:t>MQTT telemetry contract and REST API contract</w:t>
            </w:r>
          </w:p>
        </w:tc>
        <w:tc>
          <w:tcPr>
            <w:tcW w:type="dxa" w:w="3024"/>
          </w:tcPr>
          <w:p>
            <w:pPr>
              <w:spacing w:after="40"/>
            </w:pPr>
            <w:r/>
            <w:r>
              <w:rPr>
                <w:sz w:val="19"/>
              </w:rPr>
              <w:t>Complete</w:t>
            </w:r>
          </w:p>
        </w:tc>
      </w:tr>
      <w:tr>
        <w:tc>
          <w:tcPr>
            <w:tcW w:type="dxa" w:w="6912"/>
          </w:tcPr>
          <w:p>
            <w:pPr>
              <w:spacing w:after="40"/>
            </w:pPr>
            <w:r/>
            <w:r>
              <w:rPr>
                <w:sz w:val="19"/>
              </w:rPr>
              <w:t>Repository scaffold with a README in every folder</w:t>
            </w:r>
          </w:p>
        </w:tc>
        <w:tc>
          <w:tcPr>
            <w:tcW w:type="dxa" w:w="3024"/>
          </w:tcPr>
          <w:p>
            <w:pPr>
              <w:spacing w:after="40"/>
            </w:pPr>
            <w:r/>
            <w:r>
              <w:rPr>
                <w:sz w:val="19"/>
              </w:rPr>
              <w:t>Complete</w:t>
            </w:r>
          </w:p>
        </w:tc>
      </w:tr>
      <w:tr>
        <w:tc>
          <w:tcPr>
            <w:tcW w:type="dxa" w:w="6912"/>
          </w:tcPr>
          <w:p>
            <w:pPr>
              <w:spacing w:after="40"/>
            </w:pPr>
            <w:r/>
            <w:r>
              <w:rPr>
                <w:sz w:val="19"/>
              </w:rPr>
              <w:t>Work distribution and 12-week timeline</w:t>
            </w:r>
          </w:p>
        </w:tc>
        <w:tc>
          <w:tcPr>
            <w:tcW w:type="dxa" w:w="3024"/>
          </w:tcPr>
          <w:p>
            <w:pPr>
              <w:spacing w:after="40"/>
            </w:pPr>
            <w:r/>
            <w:r>
              <w:rPr>
                <w:sz w:val="19"/>
              </w:rPr>
              <w:t>Complete</w:t>
            </w:r>
          </w:p>
        </w:tc>
      </w:tr>
      <w:tr>
        <w:tc>
          <w:tcPr>
            <w:tcW w:type="dxa" w:w="6912"/>
          </w:tcPr>
          <w:p>
            <w:pPr>
              <w:spacing w:after="40"/>
            </w:pPr>
            <w:r/>
            <w:r>
              <w:rPr>
                <w:sz w:val="19"/>
              </w:rPr>
              <w:t>AWS Free Tier budget and IAM security plan</w:t>
            </w:r>
          </w:p>
        </w:tc>
        <w:tc>
          <w:tcPr>
            <w:tcW w:type="dxa" w:w="3024"/>
          </w:tcPr>
          <w:p>
            <w:pPr>
              <w:spacing w:after="40"/>
            </w:pPr>
            <w:r/>
            <w:r>
              <w:rPr>
                <w:sz w:val="19"/>
              </w:rPr>
              <w:t>Complete</w:t>
            </w:r>
          </w:p>
        </w:tc>
      </w:tr>
      <w:tr>
        <w:tc>
          <w:tcPr>
            <w:tcW w:type="dxa" w:w="6912"/>
          </w:tcPr>
          <w:p>
            <w:pPr>
              <w:spacing w:after="40"/>
            </w:pPr>
            <w:r/>
            <w:r>
              <w:rPr>
                <w:sz w:val="19"/>
              </w:rPr>
              <w:t>Edge simulator: ECG generation, uplink policy, bandwidth instrumentation</w:t>
            </w:r>
          </w:p>
        </w:tc>
        <w:tc>
          <w:tcPr>
            <w:tcW w:type="dxa" w:w="3024"/>
          </w:tcPr>
          <w:p>
            <w:pPr>
              <w:spacing w:after="40"/>
            </w:pPr>
            <w:r/>
            <w:r>
              <w:rPr>
                <w:sz w:val="19"/>
              </w:rPr>
              <w:t>Working prototype</w:t>
            </w:r>
          </w:p>
        </w:tc>
      </w:tr>
      <w:tr>
        <w:tc>
          <w:tcPr>
            <w:tcW w:type="dxa" w:w="6912"/>
          </w:tcPr>
          <w:p>
            <w:pPr>
              <w:spacing w:after="40"/>
            </w:pPr>
            <w:r/>
            <w:r>
              <w:rPr>
                <w:sz w:val="19"/>
              </w:rPr>
              <w:t>Telemetry JSON Schema</w:t>
            </w:r>
          </w:p>
        </w:tc>
        <w:tc>
          <w:tcPr>
            <w:tcW w:type="dxa" w:w="3024"/>
          </w:tcPr>
          <w:p>
            <w:pPr>
              <w:spacing w:after="40"/>
            </w:pPr>
            <w:r/>
            <w:r>
              <w:rPr>
                <w:sz w:val="19"/>
              </w:rPr>
              <w:t>Complete</w:t>
            </w:r>
          </w:p>
        </w:tc>
      </w:tr>
      <w:tr>
        <w:tc>
          <w:tcPr>
            <w:tcW w:type="dxa" w:w="6912"/>
          </w:tcPr>
          <w:p>
            <w:pPr>
              <w:spacing w:after="40"/>
            </w:pPr>
            <w:r/>
            <w:r>
              <w:rPr>
                <w:sz w:val="19"/>
              </w:rPr>
              <w:t>CI pipeline (lint, smoke test, template validation, secret scan)</w:t>
            </w:r>
          </w:p>
        </w:tc>
        <w:tc>
          <w:tcPr>
            <w:tcW w:type="dxa" w:w="3024"/>
          </w:tcPr>
          <w:p>
            <w:pPr>
              <w:spacing w:after="40"/>
            </w:pPr>
            <w:r/>
            <w:r>
              <w:rPr>
                <w:sz w:val="19"/>
              </w:rPr>
              <w:t>Complete</w:t>
            </w:r>
          </w:p>
        </w:tc>
      </w:tr>
      <w:tr>
        <w:tc>
          <w:tcPr>
            <w:tcW w:type="dxa" w:w="6912"/>
          </w:tcPr>
          <w:p>
            <w:pPr>
              <w:spacing w:after="40"/>
            </w:pPr>
            <w:r/>
            <w:r>
              <w:rPr>
                <w:sz w:val="19"/>
              </w:rPr>
              <w:t>Cloud tier deployment (CloudFormation)</w:t>
            </w:r>
          </w:p>
        </w:tc>
        <w:tc>
          <w:tcPr>
            <w:tcW w:type="dxa" w:w="3024"/>
          </w:tcPr>
          <w:p>
            <w:pPr>
              <w:spacing w:after="40"/>
            </w:pPr>
            <w:r/>
            <w:r>
              <w:rPr>
                <w:sz w:val="19"/>
              </w:rPr>
              <w:t>Planned — weeks 3–4</w:t>
            </w:r>
          </w:p>
        </w:tc>
      </w:tr>
      <w:tr>
        <w:tc>
          <w:tcPr>
            <w:tcW w:type="dxa" w:w="6912"/>
          </w:tcPr>
          <w:p>
            <w:pPr>
              <w:spacing w:after="40"/>
            </w:pPr>
            <w:r/>
            <w:r>
              <w:rPr>
                <w:sz w:val="19"/>
              </w:rPr>
              <w:t>Model training and quantisation</w:t>
            </w:r>
          </w:p>
        </w:tc>
        <w:tc>
          <w:tcPr>
            <w:tcW w:type="dxa" w:w="3024"/>
          </w:tcPr>
          <w:p>
            <w:pPr>
              <w:spacing w:after="40"/>
            </w:pPr>
            <w:r/>
            <w:r>
              <w:rPr>
                <w:sz w:val="19"/>
              </w:rPr>
              <w:t>Planned — weeks 5–7</w:t>
            </w:r>
          </w:p>
        </w:tc>
      </w:tr>
      <w:tr>
        <w:tc>
          <w:tcPr>
            <w:tcW w:type="dxa" w:w="6912"/>
          </w:tcPr>
          <w:p>
            <w:pPr>
              <w:spacing w:after="40"/>
            </w:pPr>
            <w:r/>
            <w:r>
              <w:rPr>
                <w:sz w:val="19"/>
              </w:rPr>
              <w:t>Dashboard implementation</w:t>
            </w:r>
          </w:p>
        </w:tc>
        <w:tc>
          <w:tcPr>
            <w:tcW w:type="dxa" w:w="3024"/>
          </w:tcPr>
          <w:p>
            <w:pPr>
              <w:spacing w:after="40"/>
            </w:pPr>
            <w:r/>
            <w:r>
              <w:rPr>
                <w:sz w:val="19"/>
              </w:rPr>
              <w:t>Planned — week 10</w:t>
            </w:r>
          </w:p>
        </w:tc>
      </w:tr>
    </w:tbl>
    <w:p>
      <w:pPr>
        <w:spacing w:after="80"/>
      </w:pPr>
    </w:p>
    <w:p>
      <w:pPr>
        <w:jc w:val="center"/>
      </w:pPr>
      <w:r>
        <w:drawing>
          <wp:inline xmlns:a="http://schemas.openxmlformats.org/drawingml/2006/main" xmlns:pic="http://schemas.openxmlformats.org/drawingml/2006/picture">
            <wp:extent cx="5852160" cy="2983512"/>
            <wp:docPr id="2" name="Picture 2"/>
            <wp:cNvGraphicFramePr>
              <a:graphicFrameLocks noChangeAspect="1"/>
            </wp:cNvGraphicFramePr>
            <a:graphic>
              <a:graphicData uri="http://schemas.openxmlformats.org/drawingml/2006/picture">
                <pic:pic>
                  <pic:nvPicPr>
                    <pic:cNvPr id="0" name="sim_cascade_timeline.png"/>
                    <pic:cNvPicPr/>
                  </pic:nvPicPr>
                  <pic:blipFill>
                    <a:blip r:embed="rId10"/>
                    <a:stretch>
                      <a:fillRect/>
                    </a:stretch>
                  </pic:blipFill>
                  <pic:spPr>
                    <a:xfrm>
                      <a:off x="0" y="0"/>
                      <a:ext cx="5852160" cy="2983512"/>
                    </a:xfrm>
                    <a:prstGeom prst="rect"/>
                  </pic:spPr>
                </pic:pic>
              </a:graphicData>
            </a:graphic>
          </wp:inline>
        </w:drawing>
      </w:r>
    </w:p>
    <w:p>
      <w:pPr>
        <w:spacing w:after="240"/>
        <w:jc w:val="center"/>
      </w:pPr>
      <w:r>
        <w:rPr>
          <w:b w:val="0"/>
          <w:i/>
          <w:color w:val="5B6672"/>
          <w:sz w:val="18"/>
        </w:rPr>
        <w:t>Figure 2 — Edge screening across a simulated 400-window run (≈ 67 minutes). Windows below τ_low upload only a compact summary; escalated windows upload a waveform. Shaded bands mark ground-truth abnormal episodes.</w:t>
      </w:r>
    </w:p>
    <w:p>
      <w:pPr>
        <w:jc w:val="center"/>
      </w:pPr>
      <w:r>
        <w:drawing>
          <wp:inline xmlns:a="http://schemas.openxmlformats.org/drawingml/2006/main" xmlns:pic="http://schemas.openxmlformats.org/drawingml/2006/picture">
            <wp:extent cx="5852160" cy="2148888"/>
            <wp:docPr id="3" name="Picture 3"/>
            <wp:cNvGraphicFramePr>
              <a:graphicFrameLocks noChangeAspect="1"/>
            </wp:cNvGraphicFramePr>
            <a:graphic>
              <a:graphicData uri="http://schemas.openxmlformats.org/drawingml/2006/picture">
                <pic:pic>
                  <pic:nvPicPr>
                    <pic:cNvPr id="0" name="sim_bandwidth.png"/>
                    <pic:cNvPicPr/>
                  </pic:nvPicPr>
                  <pic:blipFill>
                    <a:blip r:embed="rId11"/>
                    <a:stretch>
                      <a:fillRect/>
                    </a:stretch>
                  </pic:blipFill>
                  <pic:spPr>
                    <a:xfrm>
                      <a:off x="0" y="0"/>
                      <a:ext cx="5852160" cy="2148888"/>
                    </a:xfrm>
                    <a:prstGeom prst="rect"/>
                  </pic:spPr>
                </pic:pic>
              </a:graphicData>
            </a:graphic>
          </wp:inline>
        </w:drawing>
      </w:r>
    </w:p>
    <w:p>
      <w:pPr>
        <w:spacing w:after="240"/>
        <w:jc w:val="center"/>
      </w:pPr>
      <w:r>
        <w:rPr>
          <w:b w:val="0"/>
          <w:i/>
          <w:color w:val="5B6672"/>
          <w:sz w:val="18"/>
        </w:rPr>
        <w:t>Figure 3 — Measured uplink volume against a stream-everything baseline: an 86.8 % reduction. The baseline is itself compressed, so the comparison is not favourable by construction.</w:t>
      </w:r>
    </w:p>
    <w:p>
      <w:pPr>
        <w:jc w:val="center"/>
      </w:pPr>
      <w:r>
        <w:drawing>
          <wp:inline xmlns:a="http://schemas.openxmlformats.org/drawingml/2006/main" xmlns:pic="http://schemas.openxmlformats.org/drawingml/2006/picture">
            <wp:extent cx="5852160" cy="3511296"/>
            <wp:docPr id="4" name="Picture 4"/>
            <wp:cNvGraphicFramePr>
              <a:graphicFrameLocks noChangeAspect="1"/>
            </wp:cNvGraphicFramePr>
            <a:graphic>
              <a:graphicData uri="http://schemas.openxmlformats.org/drawingml/2006/picture">
                <pic:pic>
                  <pic:nvPicPr>
                    <pic:cNvPr id="0" name="dashboard_mockup.png"/>
                    <pic:cNvPicPr/>
                  </pic:nvPicPr>
                  <pic:blipFill>
                    <a:blip r:embed="rId12"/>
                    <a:stretch>
                      <a:fillRect/>
                    </a:stretch>
                  </pic:blipFill>
                  <pic:spPr>
                    <a:xfrm>
                      <a:off x="0" y="0"/>
                      <a:ext cx="5852160" cy="3511296"/>
                    </a:xfrm>
                    <a:prstGeom prst="rect"/>
                  </pic:spPr>
                </pic:pic>
              </a:graphicData>
            </a:graphic>
          </wp:inline>
        </w:drawing>
      </w:r>
    </w:p>
    <w:p>
      <w:pPr>
        <w:spacing w:after="240"/>
        <w:jc w:val="center"/>
      </w:pPr>
      <w:r>
        <w:rPr>
          <w:b w:val="0"/>
          <w:i/>
          <w:color w:val="5B6672"/>
          <w:sz w:val="18"/>
        </w:rPr>
        <w:t>Figure 4 — Design mockup of the clinician dashboard. This is a proposed interface, not a screenshot; the frontend is scheduled for week 10.</w:t>
      </w:r>
    </w:p>
    <w:p>
      <w:pPr>
        <w:spacing w:after="120"/>
      </w:pPr>
      <w:r>
        <w:rPr>
          <w:b w:val="0"/>
          <w:i/>
          <w:color w:val="5B6672"/>
          <w:sz w:val="20"/>
        </w:rPr>
        <w:t>Note on interpretation: the anomaly scorer behind Figures 2 and 3 is a documented placeholder heuristic, not the trained TFLite autoencoder, which is scheduled for weeks 5–7. These figures demonstrate that the pipeline and the uplink policy function end to end; they are not the final model-accuracy results, and the bandwidth figure will be re-measured once the trained model is in place.</w:t>
      </w:r>
    </w:p>
    <w:p>
      <w:r>
        <w:br w:type="page"/>
      </w:r>
    </w:p>
    <w:p>
      <w:pPr>
        <w:pStyle w:val="Heading1"/>
        <w:spacing w:before="280" w:after="120"/>
      </w:pPr>
      <w:r>
        <w:t>11.  Limitations, Ethics &amp; Future Work</w:t>
      </w:r>
    </w:p>
    <w:p>
      <w:pPr>
        <w:pStyle w:val="Heading2"/>
        <w:spacing w:before="200" w:after="120"/>
      </w:pPr>
      <w:r>
        <w:t>11.1  Scope and limitations</w:t>
      </w:r>
    </w:p>
    <w:p>
      <w:pPr>
        <w:pStyle w:val="ListBullet"/>
        <w:spacing w:after="60"/>
      </w:pPr>
      <w:r>
        <w:rPr>
          <w:b/>
        </w:rPr>
        <w:t xml:space="preserve">Not a medical device.  </w:t>
      </w:r>
      <w:r>
        <w:t>This is an academic prototype with no clinical validation and no regulatory claim. It must not be used for diagnosis or treatment.</w:t>
      </w:r>
    </w:p>
    <w:p>
      <w:pPr>
        <w:pStyle w:val="ListBullet"/>
        <w:spacing w:after="60"/>
      </w:pPr>
      <w:r>
        <w:rPr>
          <w:b/>
        </w:rPr>
        <w:t xml:space="preserve">Datasets are clinical, not wearable-grade.  </w:t>
      </w:r>
      <w:r>
        <w:t>MIT-BIH was recorded with clinical electrodes, whereas wrist-worn photoplethysmography is considerably noisier. We mitigate this with noise and motion-artefact augmentation, but it remains a threat to external validity.</w:t>
      </w:r>
    </w:p>
    <w:p>
      <w:pPr>
        <w:pStyle w:val="ListBullet"/>
        <w:spacing w:after="60"/>
      </w:pPr>
      <w:r>
        <w:rPr>
          <w:b/>
        </w:rPr>
        <w:t xml:space="preserve">Limited demographic coverage.  </w:t>
      </w:r>
      <w:r>
        <w:t>MIT-BIH contains only 47 subjects.</w:t>
      </w:r>
    </w:p>
    <w:p>
      <w:pPr>
        <w:pStyle w:val="ListBullet"/>
        <w:spacing w:after="60"/>
      </w:pPr>
      <w:r>
        <w:rPr>
          <w:b/>
        </w:rPr>
        <w:t xml:space="preserve">Optimistic prevalence.  </w:t>
      </w:r>
      <w:r>
        <w:t>Anomaly prevalence in curated datasets is far higher than in a free-living population, so reported precision is optimistic.</w:t>
      </w:r>
    </w:p>
    <w:p>
      <w:pPr>
        <w:pStyle w:val="ListBullet"/>
        <w:spacing w:after="60"/>
      </w:pPr>
      <w:r>
        <w:rPr>
          <w:b/>
        </w:rPr>
        <w:t xml:space="preserve">Single region, no failover.  </w:t>
      </w:r>
      <w:r>
        <w:t>Cross-region traffic is billable and out of scope; a disaster-recovery strategy is documented instead.</w:t>
      </w:r>
    </w:p>
    <w:p>
      <w:pPr>
        <w:pStyle w:val="ListBullet"/>
        <w:spacing w:after="60"/>
      </w:pPr>
      <w:r>
        <w:rPr>
          <w:b/>
        </w:rPr>
        <w:t xml:space="preserve">Free Tier constrains scale.  </w:t>
      </w:r>
      <w:r>
        <w:t>Sustained load tests are short and bounded so the account remains within quota.</w:t>
      </w:r>
    </w:p>
    <w:p>
      <w:pPr>
        <w:pStyle w:val="Heading2"/>
        <w:spacing w:before="200" w:after="120"/>
      </w:pPr>
      <w:r>
        <w:t>11.2  Ethics and privacy</w:t>
      </w:r>
    </w:p>
    <w:p>
      <w:pPr>
        <w:pStyle w:val="ListBullet"/>
        <w:spacing w:after="60"/>
      </w:pPr>
      <w:r>
        <w:t>All datasets used are publicly released and de-identified; no new human-subject data is collected, so no institutional ethics approval is required.</w:t>
      </w:r>
    </w:p>
    <w:p>
      <w:pPr>
        <w:pStyle w:val="ListBullet"/>
        <w:spacing w:after="60"/>
      </w:pPr>
      <w:r>
        <w:t>The deployed system stores no personally identifying information — device identifiers are opaque, and any mapping to a person lives outside the system.</w:t>
      </w:r>
    </w:p>
    <w:p>
      <w:pPr>
        <w:pStyle w:val="ListBullet"/>
        <w:spacing w:after="60"/>
      </w:pPr>
      <w:r>
        <w:t>Privacy improves as a direct consequence of the architecture: raw waveforms are transmitted only around suspected events, not continuously.</w:t>
      </w:r>
    </w:p>
    <w:p>
      <w:pPr>
        <w:pStyle w:val="ListBullet"/>
        <w:spacing w:after="60"/>
      </w:pPr>
      <w:r>
        <w:t>Data is encrypted in transit (TLS 1.2 with mutual X.509 authentication) and at rest, with least-privilege IAM roles for every component.</w:t>
      </w:r>
    </w:p>
    <w:p>
      <w:pPr>
        <w:pStyle w:val="Heading2"/>
        <w:spacing w:before="200" w:after="120"/>
      </w:pPr>
      <w:r>
        <w:t>11.3  Future work</w:t>
      </w:r>
    </w:p>
    <w:p>
      <w:pPr>
        <w:pStyle w:val="ListBullet"/>
        <w:spacing w:after="60"/>
      </w:pPr>
      <w:r>
        <w:t>Federated learning, so per-device models improve without centralising raw signals.</w:t>
      </w:r>
    </w:p>
    <w:p>
      <w:pPr>
        <w:pStyle w:val="ListBullet"/>
        <w:spacing w:after="60"/>
      </w:pPr>
      <w:r>
        <w:t>On-device incremental personalisation using the wearer's own baseline.</w:t>
      </w:r>
    </w:p>
    <w:p>
      <w:pPr>
        <w:pStyle w:val="ListBullet"/>
        <w:spacing w:after="60"/>
      </w:pPr>
      <w:r>
        <w:t>Multimodal fusion of ECG with electrodermal activity and respiration.</w:t>
      </w:r>
    </w:p>
    <w:p>
      <w:pPr>
        <w:pStyle w:val="ListBullet"/>
        <w:spacing w:after="60"/>
      </w:pPr>
      <w:r>
        <w:t>Multi-region deployment with automated failover.</w:t>
      </w:r>
    </w:p>
    <w:p>
      <w:pPr>
        <w:pStyle w:val="ListBullet"/>
        <w:spacing w:after="60"/>
      </w:pPr>
      <w:r>
        <w:t>A clinical validation study, which would be a prerequisite for any real use.</w:t>
      </w:r>
    </w:p>
    <w:p>
      <w:pPr>
        <w:pStyle w:val="Heading1"/>
        <w:spacing w:before="280" w:after="120"/>
      </w:pPr>
      <w:r>
        <w:t>12.  References</w:t>
      </w:r>
    </w:p>
    <w:p>
      <w:pPr>
        <w:spacing w:after="100"/>
        <w:ind w:left="504" w:hanging="504"/>
      </w:pPr>
      <w:r>
        <w:rPr>
          <w:b/>
        </w:rPr>
        <w:t xml:space="preserve">[1]  </w:t>
      </w:r>
      <w:r>
        <w:rPr>
          <w:sz w:val="19"/>
        </w:rPr>
        <w:t>Islam, S. M. R., Kwak, D., Kabir, M. H., Hossain, M., &amp; Kwak, K.-S. (2015). The Internet of Things for Health Care: A Comprehensive Survey. IEEE Access, 3, 678–708.</w:t>
      </w:r>
    </w:p>
    <w:p>
      <w:pPr>
        <w:spacing w:after="100"/>
        <w:ind w:left="504" w:hanging="504"/>
      </w:pPr>
      <w:r>
        <w:rPr>
          <w:b/>
        </w:rPr>
        <w:t xml:space="preserve">[2]  </w:t>
      </w:r>
      <w:r>
        <w:rPr>
          <w:sz w:val="19"/>
        </w:rPr>
        <w:t>Baker, S. B., Xiang, W., &amp; Atkinson, I. (2017). Internet of Things for Smart Healthcare: Technologies, Challenges and Opportunities. IEEE Access, 5, 26521–26544.</w:t>
      </w:r>
    </w:p>
    <w:p>
      <w:pPr>
        <w:spacing w:after="100"/>
        <w:ind w:left="504" w:hanging="504"/>
      </w:pPr>
      <w:r>
        <w:rPr>
          <w:b/>
        </w:rPr>
        <w:t xml:space="preserve">[3]  </w:t>
      </w:r>
      <w:r>
        <w:rPr>
          <w:sz w:val="19"/>
        </w:rPr>
        <w:t>Rahmani, A. M., et al. (2018). Exploiting Smart e-Health Gateways at the Edge of Healthcare Internet-of-Things: A Fog Computing Approach. Future Generation Computer Systems, 78, 641–658.</w:t>
      </w:r>
    </w:p>
    <w:p>
      <w:pPr>
        <w:spacing w:after="100"/>
        <w:ind w:left="504" w:hanging="504"/>
      </w:pPr>
      <w:r>
        <w:rPr>
          <w:b/>
        </w:rPr>
        <w:t xml:space="preserve">[4]  </w:t>
      </w:r>
      <w:r>
        <w:rPr>
          <w:sz w:val="19"/>
        </w:rPr>
        <w:t>Shi, W., Cao, J., Zhang, Q., Li, Y., &amp; Xu, L. (2016). Edge Computing: Vision and Challenges. IEEE Internet of Things Journal, 3(5), 637–646.</w:t>
      </w:r>
    </w:p>
    <w:p>
      <w:pPr>
        <w:spacing w:after="100"/>
        <w:ind w:left="504" w:hanging="504"/>
      </w:pPr>
      <w:r>
        <w:rPr>
          <w:b/>
        </w:rPr>
        <w:t xml:space="preserve">[5]  </w:t>
      </w:r>
      <w:r>
        <w:rPr>
          <w:sz w:val="19"/>
        </w:rPr>
        <w:t>Satyanarayanan, M. (2017). The Emergence of Edge Computing. Computer, 50(1), 30–39.</w:t>
      </w:r>
    </w:p>
    <w:p>
      <w:pPr>
        <w:spacing w:after="100"/>
        <w:ind w:left="504" w:hanging="504"/>
      </w:pPr>
      <w:r>
        <w:rPr>
          <w:b/>
        </w:rPr>
        <w:t xml:space="preserve">[6]  </w:t>
      </w:r>
      <w:r>
        <w:rPr>
          <w:sz w:val="19"/>
        </w:rPr>
        <w:t>Kang, Y., et al. (2017). Neurosurgeon: Collaborative Intelligence Between the Cloud and Mobile Edge. ASPLOS.</w:t>
      </w:r>
    </w:p>
    <w:p>
      <w:pPr>
        <w:spacing w:after="100"/>
        <w:ind w:left="504" w:hanging="504"/>
      </w:pPr>
      <w:r>
        <w:rPr>
          <w:b/>
        </w:rPr>
        <w:t xml:space="preserve">[7]  </w:t>
      </w:r>
      <w:r>
        <w:rPr>
          <w:sz w:val="19"/>
        </w:rPr>
        <w:t>Teerapittayanon, S., McDanel, B., &amp; Kung, H. T. (2017). Distributed Deep Neural Networks over the Cloud, the Edge and End Devices. IEEE ICDCS.</w:t>
      </w:r>
    </w:p>
    <w:p>
      <w:pPr>
        <w:spacing w:after="100"/>
        <w:ind w:left="504" w:hanging="504"/>
      </w:pPr>
      <w:r>
        <w:rPr>
          <w:b/>
        </w:rPr>
        <w:t xml:space="preserve">[8]  </w:t>
      </w:r>
      <w:r>
        <w:rPr>
          <w:sz w:val="19"/>
        </w:rPr>
        <w:t>Moody, G. B., &amp; Mark, R. G. (2001). The Impact of the MIT-BIH Arrhythmia Database. IEEE Engineering in Medicine and Biology Magazine, 20(3), 45–50.</w:t>
      </w:r>
    </w:p>
    <w:p>
      <w:pPr>
        <w:spacing w:after="100"/>
        <w:ind w:left="504" w:hanging="504"/>
      </w:pPr>
      <w:r>
        <w:rPr>
          <w:b/>
        </w:rPr>
        <w:t xml:space="preserve">[9]  </w:t>
      </w:r>
      <w:r>
        <w:rPr>
          <w:sz w:val="19"/>
        </w:rPr>
        <w:t>Hannun, A. Y., et al. (2019). Cardiologist-Level Arrhythmia Detection and Classification in Ambulatory Electrocardiograms Using a Deep Neural Network. Nature Medicine, 25, 65–69.</w:t>
      </w:r>
    </w:p>
    <w:p>
      <w:pPr>
        <w:spacing w:after="100"/>
        <w:ind w:left="504" w:hanging="504"/>
      </w:pPr>
      <w:r>
        <w:rPr>
          <w:b/>
        </w:rPr>
        <w:t xml:space="preserve">[10]  </w:t>
      </w:r>
      <w:r>
        <w:rPr>
          <w:sz w:val="19"/>
        </w:rPr>
        <w:t>Chauhan, S., &amp; Vig, L. (2015). Anomaly Detection in ECG Time Signals via Deep Long Short-Term Memory Networks. IEEE DSAA.</w:t>
      </w:r>
    </w:p>
    <w:p>
      <w:pPr>
        <w:spacing w:after="100"/>
        <w:ind w:left="504" w:hanging="504"/>
      </w:pPr>
      <w:r>
        <w:rPr>
          <w:b/>
        </w:rPr>
        <w:t xml:space="preserve">[11]  </w:t>
      </w:r>
      <w:r>
        <w:rPr>
          <w:sz w:val="19"/>
        </w:rPr>
        <w:t>Malhotra, P., et al. (2016). LSTM-Based Encoder-Decoder for Multi-Sensor Anomaly Detection. ICML Anomaly Detection Workshop.</w:t>
      </w:r>
    </w:p>
    <w:p>
      <w:pPr>
        <w:spacing w:after="100"/>
        <w:ind w:left="504" w:hanging="504"/>
      </w:pPr>
      <w:r>
        <w:rPr>
          <w:b/>
        </w:rPr>
        <w:t xml:space="preserve">[12]  </w:t>
      </w:r>
      <w:r>
        <w:rPr>
          <w:sz w:val="19"/>
        </w:rPr>
        <w:t>Kiranyaz, S., Ince, T., &amp; Gabbouj, M. (2016). Real-Time Patient-Specific ECG Classification by 1-D Convolutional Neural Networks. IEEE Transactions on Biomedical Engineering, 63(3), 664–675.</w:t>
      </w:r>
    </w:p>
    <w:p>
      <w:pPr>
        <w:spacing w:after="100"/>
        <w:ind w:left="504" w:hanging="504"/>
      </w:pPr>
      <w:r>
        <w:rPr>
          <w:b/>
        </w:rPr>
        <w:t xml:space="preserve">[13]  </w:t>
      </w:r>
      <w:r>
        <w:rPr>
          <w:sz w:val="19"/>
        </w:rPr>
        <w:t>Jonas, E., et al. (2019). Cloud Programming Simplified: A Berkeley View on Serverless Computing. UC Berkeley EECS Technical Report UCB/EECS-2019-3.</w:t>
      </w:r>
    </w:p>
    <w:p>
      <w:pPr>
        <w:spacing w:after="100"/>
        <w:ind w:left="504" w:hanging="504"/>
      </w:pPr>
      <w:r>
        <w:rPr>
          <w:b/>
        </w:rPr>
        <w:t xml:space="preserve">[14]  </w:t>
      </w:r>
      <w:r>
        <w:rPr>
          <w:sz w:val="19"/>
        </w:rPr>
        <w:t>Baldini, I., et al. (2017). Serverless Computing: Current Trends and Open Problems. Research Advances in Cloud Computing, Springer.</w:t>
      </w:r>
    </w:p>
    <w:p>
      <w:pPr>
        <w:spacing w:after="100"/>
        <w:ind w:left="504" w:hanging="504"/>
      </w:pPr>
      <w:r>
        <w:rPr>
          <w:b/>
        </w:rPr>
        <w:t xml:space="preserve">[15]  </w:t>
      </w:r>
      <w:r>
        <w:rPr>
          <w:sz w:val="19"/>
        </w:rPr>
        <w:t>Aslanpour, M. S., et al. (2021). Serverless Edge Computing: Vision and Challenges. Australasian Computer Science Week.</w:t>
      </w:r>
    </w:p>
    <w:p>
      <w:pPr>
        <w:spacing w:after="100"/>
        <w:ind w:left="504" w:hanging="504"/>
      </w:pPr>
      <w:r>
        <w:rPr>
          <w:b/>
        </w:rPr>
        <w:t xml:space="preserve">[16]  </w:t>
      </w:r>
      <w:r>
        <w:rPr>
          <w:sz w:val="19"/>
        </w:rPr>
        <w:t>Goldberger, A. L., et al. (2000). PhysioBank, PhysioToolkit, and PhysioNet. Circulation, 101(23), e215–e220.</w:t>
      </w:r>
    </w:p>
    <w:p>
      <w:pPr>
        <w:spacing w:after="100"/>
        <w:ind w:left="504" w:hanging="504"/>
      </w:pPr>
      <w:r>
        <w:rPr>
          <w:b/>
        </w:rPr>
        <w:t xml:space="preserve">[17]  </w:t>
      </w:r>
      <w:r>
        <w:rPr>
          <w:sz w:val="19"/>
        </w:rPr>
        <w:t>Wagner, P., et al. (2020). PTB-XL, a Large Publicly Available Electrocardiography Dataset. Scientific Data, 7(154).</w:t>
      </w:r>
    </w:p>
    <w:p>
      <w:pPr>
        <w:spacing w:after="100"/>
        <w:ind w:left="504" w:hanging="504"/>
      </w:pPr>
      <w:r>
        <w:rPr>
          <w:b/>
        </w:rPr>
        <w:t xml:space="preserve">[18]  </w:t>
      </w:r>
      <w:r>
        <w:rPr>
          <w:sz w:val="19"/>
        </w:rPr>
        <w:t>Schmidt, P., et al. (2018). Introducing WESAD, a Multimodal Dataset for Wearable Stress and Affect Detection. ICMI.</w:t>
      </w:r>
    </w:p>
    <w:p/>
    <w:p>
      <w:pPr>
        <w:spacing w:after="120"/>
        <w:jc w:val="center"/>
      </w:pPr>
      <w:r>
        <w:rPr>
          <w:b w:val="0"/>
          <w:i w:val="0"/>
          <w:color w:val="2563A8"/>
          <w:sz w:val="20"/>
        </w:rPr>
        <w:t>Repository: https://github.com/krishagarwal314/edge-cloud-wearable-health-analytics</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563A8"/>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C2024"/>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C202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