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2C" w:rsidRPr="008A152C" w:rsidRDefault="008A152C" w:rsidP="008A152C">
      <w:pPr>
        <w:jc w:val="both"/>
        <w:rPr>
          <w:rFonts w:ascii="Cambria" w:hAnsi="Cambria" w:cs="Arial"/>
          <w:b/>
          <w:sz w:val="24"/>
          <w:szCs w:val="24"/>
        </w:rPr>
      </w:pPr>
      <w:r w:rsidRPr="008A152C">
        <w:rPr>
          <w:rFonts w:ascii="Cambria" w:hAnsi="Cambria" w:cs="Arial"/>
          <w:b/>
          <w:sz w:val="24"/>
          <w:szCs w:val="24"/>
        </w:rPr>
        <w:t>Scope of Work</w:t>
      </w:r>
    </w:p>
    <w:p w:rsidR="008A152C" w:rsidRPr="008A152C" w:rsidRDefault="008A152C" w:rsidP="008A152C">
      <w:pPr>
        <w:pStyle w:val="Heading1"/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The CONSULTANT shall perform the following scope of work within the set deadlines:</w:t>
      </w:r>
    </w:p>
    <w:p w:rsidR="008A152C" w:rsidRPr="008A152C" w:rsidRDefault="008A152C" w:rsidP="008A152C">
      <w:pPr>
        <w:pStyle w:val="Heading1"/>
        <w:numPr>
          <w:ilvl w:val="1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Technical Functions</w:t>
      </w:r>
    </w:p>
    <w:p w:rsidR="008A152C" w:rsidRPr="008A152C" w:rsidRDefault="008A152C" w:rsidP="008A152C">
      <w:pPr>
        <w:pStyle w:val="Heading1"/>
        <w:numPr>
          <w:ilvl w:val="2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proofErr w:type="gram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Ensures completion of necessary data gathering from legislative proceedings relevant to Reproductive Health Act (“RH Act”) and National Dengue Vaccination Program (“</w:t>
      </w:r>
      <w:proofErr w:type="spell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Dengvaxia</w:t>
      </w:r>
      <w:proofErr w:type="spellEnd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”).</w:t>
      </w:r>
      <w:proofErr w:type="gramEnd"/>
    </w:p>
    <w:p w:rsidR="008A152C" w:rsidRPr="008A152C" w:rsidRDefault="008A152C" w:rsidP="008A152C">
      <w:pPr>
        <w:pStyle w:val="Heading1"/>
        <w:numPr>
          <w:ilvl w:val="2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 xml:space="preserve">Together with the Principal Investigator and Consultant, performs processing, analysis, and synthesis of data gathered from legislative proceedings relevant to RH Act and </w:t>
      </w:r>
      <w:proofErr w:type="spell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Dengvaxia</w:t>
      </w:r>
      <w:proofErr w:type="spellEnd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.</w:t>
      </w:r>
    </w:p>
    <w:p w:rsidR="008A152C" w:rsidRPr="008A152C" w:rsidRDefault="008A152C" w:rsidP="008A152C">
      <w:pPr>
        <w:pStyle w:val="Heading1"/>
        <w:numPr>
          <w:ilvl w:val="2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proofErr w:type="gram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Supports the Principal Investigator and Consultant in the development, finalization, and submission of technical reports as required by the projects, and other project-related dissemination reports such as publications and policy briefs.</w:t>
      </w:r>
      <w:proofErr w:type="gramEnd"/>
    </w:p>
    <w:p w:rsidR="008A152C" w:rsidRPr="008A152C" w:rsidRDefault="008A152C" w:rsidP="008A152C">
      <w:pPr>
        <w:pStyle w:val="Heading1"/>
        <w:numPr>
          <w:ilvl w:val="2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Performs coordination with concerned individuals and offices in relation to the final phases of the study (i.e. key informant interview, Validation Workshop, etc.)</w:t>
      </w:r>
    </w:p>
    <w:p w:rsidR="008A152C" w:rsidRPr="008A152C" w:rsidRDefault="008A152C" w:rsidP="008A152C">
      <w:pPr>
        <w:pStyle w:val="Heading1"/>
        <w:numPr>
          <w:ilvl w:val="2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proofErr w:type="gram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Supports the Principal Investigator in holding the Validation Workshop.</w:t>
      </w:r>
      <w:proofErr w:type="gramEnd"/>
    </w:p>
    <w:p w:rsidR="008A152C" w:rsidRPr="008A152C" w:rsidRDefault="008A152C" w:rsidP="008A152C">
      <w:pPr>
        <w:pStyle w:val="Heading1"/>
        <w:numPr>
          <w:ilvl w:val="1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Secretariat Functions</w:t>
      </w:r>
    </w:p>
    <w:p w:rsidR="008A152C" w:rsidRPr="008A152C" w:rsidRDefault="008A152C" w:rsidP="008A152C">
      <w:pPr>
        <w:pStyle w:val="Heading1"/>
        <w:numPr>
          <w:ilvl w:val="2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proofErr w:type="gram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Supports the Consultant in logistical functions – including procurement, inventory, and management of supplies and equipment – for workshops and meetings.</w:t>
      </w:r>
      <w:proofErr w:type="gramEnd"/>
    </w:p>
    <w:p w:rsidR="008A152C" w:rsidRPr="008A152C" w:rsidRDefault="008A152C" w:rsidP="008A152C">
      <w:pPr>
        <w:pStyle w:val="Heading1"/>
        <w:numPr>
          <w:ilvl w:val="2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proofErr w:type="gram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Attends team meetings.</w:t>
      </w:r>
      <w:proofErr w:type="gramEnd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 xml:space="preserve"> </w:t>
      </w:r>
      <w:proofErr w:type="gram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Ensures documentation of proceedings from the interviews, workshops, and meetings.</w:t>
      </w:r>
      <w:proofErr w:type="gramEnd"/>
    </w:p>
    <w:p w:rsidR="008A152C" w:rsidRPr="008A152C" w:rsidRDefault="008A152C" w:rsidP="008A152C">
      <w:pPr>
        <w:pStyle w:val="Heading1"/>
        <w:numPr>
          <w:ilvl w:val="1"/>
          <w:numId w:val="1"/>
        </w:numPr>
        <w:jc w:val="both"/>
        <w:rPr>
          <w:rFonts w:ascii="Cambria" w:hAnsi="Cambria"/>
          <w:b w:val="0"/>
          <w:bCs w:val="0"/>
          <w:sz w:val="24"/>
          <w:szCs w:val="24"/>
          <w:lang w:val="en-PH"/>
        </w:rPr>
      </w:pPr>
      <w:proofErr w:type="gramStart"/>
      <w:r w:rsidRPr="008A152C">
        <w:rPr>
          <w:rFonts w:ascii="Cambria" w:hAnsi="Cambria"/>
          <w:b w:val="0"/>
          <w:bCs w:val="0"/>
          <w:sz w:val="24"/>
          <w:szCs w:val="24"/>
          <w:lang w:val="en-PH"/>
        </w:rPr>
        <w:t>Other tasks as deemed relevant by the Project &amp; Operations Manager, the Principal Investigator, Consultant, or the Regional Director.</w:t>
      </w:r>
      <w:proofErr w:type="gramEnd"/>
    </w:p>
    <w:p w:rsidR="008A152C" w:rsidRPr="008A152C" w:rsidRDefault="008A152C" w:rsidP="008A152C">
      <w:pPr>
        <w:pStyle w:val="Heading1"/>
        <w:jc w:val="both"/>
        <w:rPr>
          <w:rFonts w:ascii="Cambria" w:hAnsi="Cambria"/>
          <w:sz w:val="24"/>
          <w:szCs w:val="24"/>
        </w:rPr>
      </w:pPr>
      <w:r w:rsidRPr="008A152C">
        <w:rPr>
          <w:rFonts w:ascii="Cambria" w:hAnsi="Cambria"/>
          <w:sz w:val="24"/>
          <w:szCs w:val="24"/>
        </w:rPr>
        <w:t>Compensation</w:t>
      </w:r>
    </w:p>
    <w:p w:rsidR="008A152C" w:rsidRPr="008A152C" w:rsidRDefault="008A152C" w:rsidP="008A152C">
      <w:pPr>
        <w:ind w:left="450"/>
        <w:jc w:val="both"/>
        <w:rPr>
          <w:rFonts w:ascii="Cambria" w:hAnsi="Cambria" w:cs="Arial"/>
          <w:sz w:val="24"/>
          <w:szCs w:val="24"/>
        </w:rPr>
      </w:pPr>
    </w:p>
    <w:p w:rsidR="008A152C" w:rsidRPr="008A152C" w:rsidRDefault="008A152C" w:rsidP="008A152C">
      <w:pPr>
        <w:ind w:left="450"/>
        <w:jc w:val="both"/>
        <w:rPr>
          <w:rFonts w:ascii="Cambria" w:hAnsi="Cambria" w:cs="Arial"/>
          <w:b/>
          <w:sz w:val="24"/>
          <w:szCs w:val="24"/>
        </w:rPr>
      </w:pPr>
      <w:r w:rsidRPr="008A152C">
        <w:rPr>
          <w:rFonts w:ascii="Cambria" w:hAnsi="Cambria" w:cs="Arial"/>
          <w:sz w:val="24"/>
          <w:szCs w:val="24"/>
        </w:rPr>
        <w:t xml:space="preserve">ACCESS Health will pay the CONSULTANT a monthly fee in the amount of </w:t>
      </w:r>
      <w:r w:rsidRPr="008A152C">
        <w:rPr>
          <w:rFonts w:ascii="Cambria" w:hAnsi="Cambria" w:cs="Arial"/>
          <w:b/>
          <w:bCs/>
          <w:sz w:val="24"/>
          <w:szCs w:val="24"/>
        </w:rPr>
        <w:t xml:space="preserve">PHP 30,000.00 for 2 months, </w:t>
      </w:r>
      <w:r w:rsidRPr="008A152C">
        <w:rPr>
          <w:rFonts w:ascii="Cambria" w:hAnsi="Cambria" w:cs="Arial"/>
          <w:sz w:val="24"/>
          <w:szCs w:val="24"/>
        </w:rPr>
        <w:t xml:space="preserve">subject to corresponding withholding taxes of 5%. </w:t>
      </w:r>
    </w:p>
    <w:p w:rsidR="008A152C" w:rsidRPr="008A152C" w:rsidRDefault="008A152C" w:rsidP="008A152C">
      <w:pPr>
        <w:spacing w:after="160" w:line="259" w:lineRule="auto"/>
        <w:rPr>
          <w:rFonts w:ascii="Cambria" w:hAnsi="Cambria" w:cs="Arial"/>
          <w:bCs/>
          <w:sz w:val="24"/>
          <w:szCs w:val="24"/>
        </w:rPr>
      </w:pPr>
    </w:p>
    <w:p w:rsidR="008A152C" w:rsidRPr="008A152C" w:rsidRDefault="008A152C" w:rsidP="008A152C">
      <w:pPr>
        <w:spacing w:after="160" w:line="259" w:lineRule="auto"/>
        <w:ind w:left="450"/>
        <w:rPr>
          <w:rFonts w:ascii="Cambria" w:hAnsi="Cambria" w:cs="Arial"/>
          <w:bCs/>
          <w:sz w:val="24"/>
          <w:szCs w:val="24"/>
        </w:rPr>
      </w:pPr>
      <w:r w:rsidRPr="008A152C">
        <w:rPr>
          <w:rFonts w:ascii="Cambria" w:hAnsi="Cambria" w:cs="Arial"/>
          <w:bCs/>
          <w:sz w:val="24"/>
          <w:szCs w:val="24"/>
        </w:rPr>
        <w:lastRenderedPageBreak/>
        <w:t>ACCESS Health will pay the CONSULTANT due communication and other project-related expenses upon mutual agreement. A separate document will present the particulars and of the payment on a separate document.</w:t>
      </w:r>
    </w:p>
    <w:p w:rsidR="008A152C" w:rsidRPr="008A152C" w:rsidRDefault="008A152C" w:rsidP="008A152C">
      <w:pPr>
        <w:spacing w:after="160" w:line="259" w:lineRule="auto"/>
        <w:rPr>
          <w:rFonts w:ascii="Cambria" w:hAnsi="Cambria" w:cs="Arial"/>
          <w:b/>
          <w:sz w:val="24"/>
          <w:szCs w:val="24"/>
        </w:rPr>
      </w:pPr>
    </w:p>
    <w:p w:rsidR="008A152C" w:rsidRPr="008A152C" w:rsidRDefault="008A152C" w:rsidP="008A152C">
      <w:pPr>
        <w:spacing w:after="160" w:line="259" w:lineRule="auto"/>
        <w:rPr>
          <w:rFonts w:ascii="Cambria" w:hAnsi="Cambria" w:cs="Arial"/>
          <w:b/>
          <w:sz w:val="24"/>
          <w:szCs w:val="24"/>
        </w:rPr>
      </w:pPr>
      <w:r w:rsidRPr="008A152C">
        <w:rPr>
          <w:rFonts w:ascii="Cambria" w:hAnsi="Cambria" w:cs="Arial"/>
          <w:b/>
          <w:sz w:val="24"/>
          <w:szCs w:val="24"/>
        </w:rPr>
        <w:t>Term</w:t>
      </w:r>
    </w:p>
    <w:p w:rsidR="008A152C" w:rsidRPr="008A152C" w:rsidRDefault="008A152C" w:rsidP="008A152C">
      <w:pPr>
        <w:jc w:val="both"/>
        <w:rPr>
          <w:rFonts w:ascii="Cambria" w:hAnsi="Cambria" w:cs="Arial"/>
          <w:sz w:val="24"/>
          <w:szCs w:val="24"/>
        </w:rPr>
      </w:pPr>
      <w:r w:rsidRPr="008A152C">
        <w:rPr>
          <w:rFonts w:ascii="Cambria" w:hAnsi="Cambria" w:cs="Arial"/>
          <w:sz w:val="24"/>
          <w:szCs w:val="24"/>
        </w:rPr>
        <w:t xml:space="preserve">This engagement shall commence upon execution of this Contract. The contract shall continue in full force and is effect from </w:t>
      </w:r>
      <w:r w:rsidRPr="008A152C">
        <w:rPr>
          <w:rFonts w:ascii="Cambria" w:hAnsi="Cambria" w:cs="Arial"/>
          <w:b/>
          <w:sz w:val="24"/>
          <w:szCs w:val="24"/>
        </w:rPr>
        <w:t>February 19, 2021 to April 19, 2021.</w:t>
      </w:r>
    </w:p>
    <w:p w:rsidR="008A152C" w:rsidRPr="008A152C" w:rsidRDefault="008A152C" w:rsidP="008A152C">
      <w:pPr>
        <w:jc w:val="both"/>
        <w:rPr>
          <w:rFonts w:ascii="Cambria" w:hAnsi="Cambria" w:cs="Arial"/>
          <w:sz w:val="24"/>
          <w:szCs w:val="24"/>
        </w:rPr>
      </w:pPr>
    </w:p>
    <w:p w:rsidR="008A152C" w:rsidRPr="008A152C" w:rsidRDefault="008A152C" w:rsidP="008A152C">
      <w:pPr>
        <w:jc w:val="both"/>
        <w:rPr>
          <w:rFonts w:ascii="Cambria" w:hAnsi="Cambria" w:cs="Arial"/>
          <w:bCs/>
          <w:sz w:val="24"/>
          <w:szCs w:val="24"/>
        </w:rPr>
      </w:pPr>
    </w:p>
    <w:p w:rsidR="008A152C" w:rsidRPr="008A152C" w:rsidRDefault="008A152C" w:rsidP="008A152C">
      <w:pPr>
        <w:jc w:val="both"/>
        <w:rPr>
          <w:rFonts w:ascii="Cambria" w:hAnsi="Cambria" w:cs="Arial"/>
          <w:bCs/>
          <w:sz w:val="24"/>
          <w:szCs w:val="24"/>
        </w:rPr>
      </w:pPr>
    </w:p>
    <w:p w:rsidR="008A152C" w:rsidRPr="008A152C" w:rsidRDefault="008A152C" w:rsidP="008A152C">
      <w:pPr>
        <w:jc w:val="both"/>
        <w:rPr>
          <w:rFonts w:ascii="Cambria" w:hAnsi="Cambria" w:cs="Arial"/>
          <w:bCs/>
          <w:sz w:val="24"/>
          <w:szCs w:val="24"/>
        </w:rPr>
      </w:pPr>
      <w:r w:rsidRPr="008A152C">
        <w:rPr>
          <w:rFonts w:ascii="Cambria" w:hAnsi="Cambria" w:cs="Arial"/>
          <w:bCs/>
          <w:sz w:val="24"/>
          <w:szCs w:val="24"/>
        </w:rPr>
        <w:t>With Conformity:</w:t>
      </w:r>
    </w:p>
    <w:p w:rsidR="008A152C" w:rsidRPr="008A152C" w:rsidRDefault="008A152C" w:rsidP="008A152C">
      <w:pPr>
        <w:jc w:val="both"/>
        <w:rPr>
          <w:rFonts w:ascii="Cambria" w:hAnsi="Cambria" w:cs="Arial"/>
          <w:bCs/>
          <w:sz w:val="24"/>
          <w:szCs w:val="24"/>
        </w:rPr>
      </w:pPr>
    </w:p>
    <w:p w:rsidR="008A152C" w:rsidRPr="008A152C" w:rsidRDefault="008A152C" w:rsidP="008A152C">
      <w:pPr>
        <w:jc w:val="both"/>
        <w:rPr>
          <w:rFonts w:ascii="Cambria" w:hAnsi="Cambria" w:cs="Arial"/>
          <w:bCs/>
          <w:sz w:val="24"/>
          <w:szCs w:val="24"/>
        </w:rPr>
      </w:pPr>
    </w:p>
    <w:p w:rsidR="008A152C" w:rsidRPr="008A152C" w:rsidRDefault="008A152C" w:rsidP="008A152C">
      <w:pPr>
        <w:jc w:val="both"/>
        <w:rPr>
          <w:rFonts w:ascii="Cambria" w:hAnsi="Cambria" w:cs="Arial"/>
          <w:bCs/>
          <w:sz w:val="24"/>
          <w:szCs w:val="24"/>
        </w:rPr>
      </w:pPr>
    </w:p>
    <w:tbl>
      <w:tblPr>
        <w:tblW w:w="5799" w:type="pct"/>
        <w:tblInd w:w="-72" w:type="dxa"/>
        <w:tblLayout w:type="fixed"/>
        <w:tblLook w:val="0000"/>
      </w:tblPr>
      <w:tblGrid>
        <w:gridCol w:w="2257"/>
        <w:gridCol w:w="8849"/>
      </w:tblGrid>
      <w:tr w:rsidR="008A152C" w:rsidRPr="008A152C" w:rsidTr="00C86234">
        <w:trPr>
          <w:trHeight w:val="249"/>
        </w:trPr>
        <w:tc>
          <w:tcPr>
            <w:tcW w:w="509" w:type="pct"/>
          </w:tcPr>
          <w:p w:rsidR="008A152C" w:rsidRPr="008A152C" w:rsidRDefault="008A152C" w:rsidP="00C86234">
            <w:pPr>
              <w:keepNext/>
              <w:keepLines/>
              <w:jc w:val="both"/>
              <w:rPr>
                <w:rFonts w:ascii="Cambria" w:hAnsi="Cambria" w:cs="Arial"/>
                <w:b/>
                <w:sz w:val="24"/>
                <w:szCs w:val="24"/>
                <w:u w:val="single"/>
              </w:rPr>
            </w:pPr>
            <w:r w:rsidRPr="008A152C">
              <w:rPr>
                <w:rFonts w:ascii="Cambria" w:hAnsi="Cambria" w:cs="Arial"/>
                <w:b/>
                <w:sz w:val="24"/>
                <w:szCs w:val="24"/>
              </w:rPr>
              <w:t>Name:</w:t>
            </w:r>
          </w:p>
        </w:tc>
        <w:tc>
          <w:tcPr>
            <w:tcW w:w="1996" w:type="pct"/>
          </w:tcPr>
          <w:p w:rsidR="008A152C" w:rsidRPr="008A152C" w:rsidRDefault="008A152C" w:rsidP="00C86234">
            <w:pPr>
              <w:jc w:val="both"/>
              <w:rPr>
                <w:rFonts w:ascii="Cambria" w:hAnsi="Cambria" w:cs="Arial"/>
                <w:b/>
                <w:strike/>
                <w:sz w:val="24"/>
                <w:szCs w:val="24"/>
              </w:rPr>
            </w:pPr>
            <w:r w:rsidRPr="008A152C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Chester F. </w:t>
            </w:r>
            <w:proofErr w:type="spellStart"/>
            <w:r w:rsidRPr="008A152C">
              <w:rPr>
                <w:rFonts w:ascii="Cambria" w:hAnsi="Cambria" w:cs="Arial"/>
                <w:b/>
                <w:bCs/>
                <w:sz w:val="24"/>
                <w:szCs w:val="24"/>
              </w:rPr>
              <w:t>Batiforra</w:t>
            </w:r>
            <w:proofErr w:type="spellEnd"/>
          </w:p>
          <w:p w:rsidR="008A152C" w:rsidRPr="008A152C" w:rsidRDefault="008A152C" w:rsidP="00C86234">
            <w:pPr>
              <w:jc w:val="both"/>
              <w:rPr>
                <w:rFonts w:ascii="Cambria" w:hAnsi="Cambria" w:cs="Arial"/>
                <w:b/>
                <w:strike/>
                <w:sz w:val="24"/>
                <w:szCs w:val="24"/>
              </w:rPr>
            </w:pPr>
          </w:p>
        </w:tc>
      </w:tr>
      <w:tr w:rsidR="008A152C" w:rsidRPr="008A152C" w:rsidTr="00C86234">
        <w:trPr>
          <w:trHeight w:val="1249"/>
        </w:trPr>
        <w:tc>
          <w:tcPr>
            <w:tcW w:w="509" w:type="pct"/>
          </w:tcPr>
          <w:p w:rsidR="008A152C" w:rsidRPr="008A152C" w:rsidRDefault="008A152C" w:rsidP="00C86234">
            <w:pPr>
              <w:keepNext/>
              <w:keepLines/>
              <w:jc w:val="both"/>
              <w:rPr>
                <w:rFonts w:ascii="Cambria" w:hAnsi="Cambria" w:cs="Arial"/>
                <w:b/>
                <w:sz w:val="24"/>
                <w:szCs w:val="24"/>
                <w:u w:val="single"/>
              </w:rPr>
            </w:pPr>
            <w:r w:rsidRPr="008A152C">
              <w:rPr>
                <w:rFonts w:ascii="Cambria" w:hAnsi="Cambria" w:cs="Arial"/>
                <w:b/>
                <w:sz w:val="24"/>
                <w:szCs w:val="24"/>
              </w:rPr>
              <w:t>Title:</w:t>
            </w:r>
          </w:p>
        </w:tc>
        <w:tc>
          <w:tcPr>
            <w:tcW w:w="1996" w:type="pct"/>
          </w:tcPr>
          <w:p w:rsidR="008A152C" w:rsidRPr="008A152C" w:rsidRDefault="008A152C" w:rsidP="00C86234">
            <w:pPr>
              <w:keepNext/>
              <w:keepLines/>
              <w:jc w:val="both"/>
              <w:rPr>
                <w:rFonts w:ascii="Cambria" w:hAnsi="Cambria" w:cs="Arial"/>
                <w:b/>
                <w:strike/>
                <w:sz w:val="24"/>
                <w:szCs w:val="24"/>
              </w:rPr>
            </w:pPr>
            <w:r w:rsidRPr="008A152C">
              <w:rPr>
                <w:rFonts w:ascii="Cambria" w:hAnsi="Cambria" w:cs="Arial"/>
                <w:b/>
                <w:sz w:val="24"/>
                <w:szCs w:val="24"/>
              </w:rPr>
              <w:t>Independent Consultant</w:t>
            </w:r>
          </w:p>
        </w:tc>
      </w:tr>
      <w:tr w:rsidR="008A152C" w:rsidRPr="008A152C" w:rsidTr="00C86234">
        <w:trPr>
          <w:trHeight w:val="251"/>
        </w:trPr>
        <w:tc>
          <w:tcPr>
            <w:tcW w:w="509" w:type="pct"/>
          </w:tcPr>
          <w:p w:rsidR="008A152C" w:rsidRPr="008A152C" w:rsidRDefault="008A152C" w:rsidP="00C86234">
            <w:pPr>
              <w:keepNext/>
              <w:keepLines/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8A152C">
              <w:rPr>
                <w:rFonts w:ascii="Cambria" w:hAnsi="Cambria" w:cs="Arial"/>
                <w:b/>
                <w:sz w:val="24"/>
                <w:szCs w:val="24"/>
              </w:rPr>
              <w:t>Date:</w:t>
            </w:r>
          </w:p>
        </w:tc>
        <w:tc>
          <w:tcPr>
            <w:tcW w:w="1996" w:type="pct"/>
          </w:tcPr>
          <w:p w:rsidR="008A152C" w:rsidRPr="008A152C" w:rsidRDefault="008A152C" w:rsidP="00C86234">
            <w:pPr>
              <w:keepNext/>
              <w:keepLines/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8A152C">
              <w:rPr>
                <w:rFonts w:ascii="Cambria" w:hAnsi="Cambria" w:cs="Arial"/>
                <w:b/>
                <w:sz w:val="24"/>
                <w:szCs w:val="24"/>
              </w:rPr>
              <w:t>February 19, 2021</w:t>
            </w:r>
          </w:p>
        </w:tc>
      </w:tr>
    </w:tbl>
    <w:p w:rsidR="003A0065" w:rsidRPr="008A152C" w:rsidRDefault="003A0065">
      <w:pPr>
        <w:rPr>
          <w:sz w:val="24"/>
          <w:szCs w:val="24"/>
        </w:rPr>
      </w:pPr>
    </w:p>
    <w:sectPr w:rsidR="003A0065" w:rsidRPr="008A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54D9D"/>
    <w:multiLevelType w:val="multilevel"/>
    <w:tmpl w:val="1B36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Aria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8A152C"/>
    <w:rsid w:val="003A0065"/>
    <w:rsid w:val="008A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152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52C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>Grizli777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2021-02-23T06:14:00Z</dcterms:created>
  <dcterms:modified xsi:type="dcterms:W3CDTF">2021-02-23T06:15:00Z</dcterms:modified>
</cp:coreProperties>
</file>