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5088" w14:textId="77777777" w:rsidR="002167F3" w:rsidRPr="00DD457C" w:rsidRDefault="002167F3" w:rsidP="002167F3">
      <w:pPr>
        <w:tabs>
          <w:tab w:val="left" w:pos="360"/>
          <w:tab w:val="left" w:pos="1080"/>
        </w:tabs>
        <w:jc w:val="center"/>
        <w:rPr>
          <w:b/>
        </w:rPr>
      </w:pPr>
      <w:r>
        <w:rPr>
          <w:b/>
        </w:rPr>
        <w:t xml:space="preserve">Terms of Reference </w:t>
      </w:r>
    </w:p>
    <w:p w14:paraId="38AC423B" w14:textId="437591CC" w:rsidR="002C35B8" w:rsidRPr="002C35B8" w:rsidRDefault="002167F3" w:rsidP="002167F3">
      <w:pPr>
        <w:widowControl w:val="0"/>
        <w:autoSpaceDE w:val="0"/>
        <w:autoSpaceDN w:val="0"/>
        <w:adjustRightInd w:val="0"/>
        <w:jc w:val="both"/>
        <w:rPr>
          <w:rFonts w:cstheme="minorHAnsi"/>
        </w:rPr>
      </w:pPr>
      <w:r w:rsidRPr="00DC1CAF">
        <w:rPr>
          <w:rFonts w:eastAsia="Times New Roman" w:cstheme="minorHAnsi"/>
          <w:b/>
          <w:lang w:bidi="en-US"/>
        </w:rPr>
        <w:t>Title</w:t>
      </w:r>
      <w:r w:rsidRPr="00DC1CAF">
        <w:rPr>
          <w:rFonts w:eastAsia="Times New Roman" w:cstheme="minorHAnsi"/>
          <w:lang w:bidi="en-US"/>
        </w:rPr>
        <w:t xml:space="preserve">: </w:t>
      </w:r>
      <w:r w:rsidRPr="00F04F9F">
        <w:rPr>
          <w:rFonts w:cstheme="minorHAnsi"/>
        </w:rPr>
        <w:t>Regional Coordinator</w:t>
      </w:r>
    </w:p>
    <w:p w14:paraId="4435C2CC" w14:textId="77777777" w:rsidR="002167F3" w:rsidRPr="00DC1CAF" w:rsidRDefault="002167F3" w:rsidP="002167F3">
      <w:pPr>
        <w:widowControl w:val="0"/>
        <w:autoSpaceDE w:val="0"/>
        <w:autoSpaceDN w:val="0"/>
        <w:adjustRightInd w:val="0"/>
        <w:jc w:val="both"/>
        <w:rPr>
          <w:rFonts w:eastAsia="Times New Roman" w:cstheme="minorHAnsi"/>
          <w:lang w:bidi="en-US"/>
        </w:rPr>
      </w:pPr>
      <w:r w:rsidRPr="00DC1CAF">
        <w:rPr>
          <w:rFonts w:eastAsia="Times New Roman" w:cstheme="minorHAnsi"/>
          <w:b/>
          <w:lang w:bidi="en-US"/>
        </w:rPr>
        <w:t>Scope of Work</w:t>
      </w:r>
      <w:r w:rsidRPr="00DC1CAF">
        <w:rPr>
          <w:rFonts w:eastAsia="Times New Roman" w:cstheme="minorHAnsi"/>
          <w:lang w:bidi="en-US"/>
        </w:rPr>
        <w:t xml:space="preserve">: </w:t>
      </w:r>
    </w:p>
    <w:p w14:paraId="175C1A3D" w14:textId="4A709C95" w:rsidR="002167F3" w:rsidRPr="002167F3" w:rsidRDefault="002167F3" w:rsidP="002167F3">
      <w:pPr>
        <w:widowControl w:val="0"/>
        <w:autoSpaceDE w:val="0"/>
        <w:autoSpaceDN w:val="0"/>
        <w:adjustRightInd w:val="0"/>
        <w:jc w:val="both"/>
        <w:rPr>
          <w:rFonts w:eastAsia="Times New Roman" w:cstheme="minorHAnsi"/>
          <w:lang w:bidi="en-US"/>
        </w:rPr>
      </w:pPr>
      <w:r w:rsidRPr="00DC1CAF">
        <w:rPr>
          <w:rFonts w:eastAsia="Times New Roman" w:cstheme="minorHAnsi"/>
          <w:lang w:bidi="en-US"/>
        </w:rPr>
        <w:t>[Serve the Company in the capacity as</w:t>
      </w:r>
      <w:r>
        <w:rPr>
          <w:rFonts w:eastAsia="Times New Roman" w:cstheme="minorHAnsi"/>
          <w:lang w:bidi="en-US"/>
        </w:rPr>
        <w:t xml:space="preserve"> </w:t>
      </w:r>
      <w:r w:rsidRPr="00F04F9F">
        <w:rPr>
          <w:rFonts w:cstheme="minorHAnsi"/>
        </w:rPr>
        <w:t>Regional Coordinator</w:t>
      </w:r>
      <w:r w:rsidRPr="00DC1CAF">
        <w:rPr>
          <w:rFonts w:eastAsia="Times New Roman" w:cstheme="minorHAnsi"/>
          <w:lang w:bidi="en-US"/>
        </w:rPr>
        <w:t xml:space="preserve"> of the Company for Singapore (the “</w:t>
      </w:r>
      <w:r w:rsidRPr="00DC1CAF">
        <w:rPr>
          <w:rFonts w:eastAsia="Times New Roman" w:cstheme="minorHAnsi"/>
          <w:b/>
          <w:lang w:bidi="en-US"/>
        </w:rPr>
        <w:t>Territory</w:t>
      </w:r>
      <w:r w:rsidRPr="00DC1CAF">
        <w:rPr>
          <w:rFonts w:eastAsia="Times New Roman" w:cstheme="minorHAnsi"/>
          <w:lang w:bidi="en-US"/>
        </w:rPr>
        <w:t>”) with the objectives of:</w:t>
      </w:r>
    </w:p>
    <w:p w14:paraId="4AA6DE21" w14:textId="5622FD4B" w:rsidR="00F04F9F" w:rsidRPr="00F04F9F" w:rsidRDefault="00F04F9F" w:rsidP="00F04F9F">
      <w:pPr>
        <w:rPr>
          <w:rFonts w:cstheme="minorHAnsi"/>
        </w:rPr>
      </w:pPr>
      <w:r w:rsidRPr="00F04F9F">
        <w:rPr>
          <w:rFonts w:cstheme="minorHAnsi"/>
        </w:rPr>
        <w:t>The Regional Coordinator will be responsible for identifying and pursuing new revenue-generating engagements and opportunities in the region, aligned with the Health Futures and ACCESS Health mission. The coordinator will:</w:t>
      </w:r>
    </w:p>
    <w:p w14:paraId="04C10E6D" w14:textId="76BDE211" w:rsidR="00F04F9F" w:rsidRPr="00F04F9F" w:rsidRDefault="00F04F9F" w:rsidP="00F04F9F">
      <w:pPr>
        <w:rPr>
          <w:rFonts w:cstheme="minorHAnsi"/>
          <w:b/>
          <w:bCs/>
        </w:rPr>
      </w:pPr>
      <w:r w:rsidRPr="00F04F9F">
        <w:rPr>
          <w:rFonts w:cstheme="minorHAnsi"/>
          <w:b/>
          <w:bCs/>
        </w:rPr>
        <w:t>1. Identify and maintain new regional strategic partnerships</w:t>
      </w:r>
    </w:p>
    <w:p w14:paraId="7851F3C7" w14:textId="529FA122" w:rsidR="00F04F9F" w:rsidRPr="00F04F9F" w:rsidRDefault="00F04F9F" w:rsidP="00F04F9F">
      <w:pPr>
        <w:rPr>
          <w:rFonts w:cstheme="minorHAnsi"/>
        </w:rPr>
      </w:pPr>
      <w:r w:rsidRPr="00F04F9F">
        <w:rPr>
          <w:rFonts w:cstheme="minorHAnsi"/>
        </w:rPr>
        <w:t>Lead the ACCESS Health team to engage regionally based stakeholders, including multilateral and governments, academia, non-profit organizations for ACCESS Health as potential funders, partners, and entities of interest for ACCESS Health.</w:t>
      </w:r>
    </w:p>
    <w:p w14:paraId="1B73650F" w14:textId="50F585D1" w:rsidR="00F04F9F" w:rsidRPr="00F04F9F" w:rsidRDefault="00F04F9F" w:rsidP="00F04F9F">
      <w:pPr>
        <w:rPr>
          <w:rFonts w:cstheme="minorHAnsi"/>
          <w:b/>
          <w:bCs/>
        </w:rPr>
      </w:pPr>
      <w:r w:rsidRPr="00F04F9F">
        <w:rPr>
          <w:rFonts w:cstheme="minorHAnsi"/>
          <w:b/>
          <w:bCs/>
        </w:rPr>
        <w:t>2. Develop and pursue proposals for large foundations and multilateral organizations for regional initiatives to secure funding and strategic partnerships.</w:t>
      </w:r>
    </w:p>
    <w:p w14:paraId="046472A0" w14:textId="77777777" w:rsidR="00F04F9F" w:rsidRDefault="00F04F9F" w:rsidP="00F04F9F">
      <w:pPr>
        <w:rPr>
          <w:rFonts w:cstheme="minorHAnsi"/>
        </w:rPr>
      </w:pPr>
      <w:r w:rsidRPr="00F04F9F">
        <w:rPr>
          <w:rFonts w:cstheme="minorHAnsi"/>
        </w:rPr>
        <w:t>Work with the ACCESS Health team to respond to RFPs (Request for Proposals) or put forward new concepts to respond to funders by</w:t>
      </w:r>
      <w:r>
        <w:rPr>
          <w:rFonts w:cstheme="minorHAnsi"/>
        </w:rPr>
        <w:t>:</w:t>
      </w:r>
    </w:p>
    <w:p w14:paraId="386A165A" w14:textId="77777777" w:rsidR="00F04F9F" w:rsidRDefault="00F04F9F" w:rsidP="00F04F9F">
      <w:pPr>
        <w:pStyle w:val="ListParagraph"/>
        <w:numPr>
          <w:ilvl w:val="0"/>
          <w:numId w:val="4"/>
        </w:numPr>
        <w:rPr>
          <w:rFonts w:cstheme="minorHAnsi"/>
        </w:rPr>
      </w:pPr>
      <w:r>
        <w:rPr>
          <w:rFonts w:cstheme="minorHAnsi"/>
        </w:rPr>
        <w:t>U</w:t>
      </w:r>
      <w:r w:rsidRPr="00F04F9F">
        <w:rPr>
          <w:rFonts w:cstheme="minorHAnsi"/>
        </w:rPr>
        <w:t>nderstanding the procurement and funding cycles of major organizations</w:t>
      </w:r>
    </w:p>
    <w:p w14:paraId="72F3A8D3" w14:textId="77777777" w:rsidR="00F04F9F" w:rsidRDefault="00F04F9F" w:rsidP="00F04F9F">
      <w:pPr>
        <w:pStyle w:val="ListParagraph"/>
        <w:numPr>
          <w:ilvl w:val="0"/>
          <w:numId w:val="4"/>
        </w:numPr>
        <w:rPr>
          <w:rFonts w:cstheme="minorHAnsi"/>
        </w:rPr>
      </w:pPr>
      <w:r>
        <w:rPr>
          <w:rFonts w:cstheme="minorHAnsi"/>
        </w:rPr>
        <w:t>W</w:t>
      </w:r>
      <w:r w:rsidRPr="00F04F9F">
        <w:rPr>
          <w:rFonts w:cstheme="minorHAnsi"/>
        </w:rPr>
        <w:t>riting grant and other related proposals</w:t>
      </w:r>
    </w:p>
    <w:p w14:paraId="41C10C41" w14:textId="0C3581C2" w:rsidR="00F04F9F" w:rsidRPr="00F04F9F" w:rsidRDefault="00F04F9F" w:rsidP="00F04F9F">
      <w:pPr>
        <w:pStyle w:val="ListParagraph"/>
        <w:numPr>
          <w:ilvl w:val="0"/>
          <w:numId w:val="4"/>
        </w:numPr>
        <w:rPr>
          <w:rFonts w:cstheme="minorHAnsi"/>
        </w:rPr>
      </w:pPr>
      <w:r>
        <w:rPr>
          <w:rFonts w:cstheme="minorHAnsi"/>
        </w:rPr>
        <w:t>S</w:t>
      </w:r>
      <w:r w:rsidRPr="00F04F9F">
        <w:rPr>
          <w:rFonts w:cstheme="minorHAnsi"/>
        </w:rPr>
        <w:t>ecuring new revenue opportunities</w:t>
      </w:r>
    </w:p>
    <w:p w14:paraId="64A1D80A" w14:textId="7BBFA86B" w:rsidR="00F04F9F" w:rsidRPr="00F04F9F" w:rsidRDefault="00F04F9F" w:rsidP="00F04F9F">
      <w:pPr>
        <w:rPr>
          <w:rFonts w:cstheme="minorHAnsi"/>
          <w:b/>
          <w:bCs/>
        </w:rPr>
      </w:pPr>
      <w:r w:rsidRPr="00F04F9F">
        <w:rPr>
          <w:rFonts w:cstheme="minorHAnsi"/>
          <w:b/>
          <w:bCs/>
        </w:rPr>
        <w:t>3. Identify exchange areas for health innovations in the region</w:t>
      </w:r>
    </w:p>
    <w:p w14:paraId="75169BAF" w14:textId="248A00AA" w:rsidR="00FB161C" w:rsidRDefault="00F04F9F" w:rsidP="00F04F9F">
      <w:pPr>
        <w:rPr>
          <w:rFonts w:cstheme="minorHAnsi"/>
        </w:rPr>
      </w:pPr>
      <w:r w:rsidRPr="00F04F9F">
        <w:rPr>
          <w:rFonts w:cstheme="minorHAnsi"/>
        </w:rPr>
        <w:t>With a clear understanding of trends and priorities of major stakeholders in the region, identify regional opportunities for health innovation for ACCESS Health. Such opportunities can include the development of regional exchange programs, an expansion of our start-up and corporate networks under Health Futures, and global health leadership programs.</w:t>
      </w:r>
    </w:p>
    <w:p w14:paraId="5D482DAF" w14:textId="350D67B2" w:rsidR="002C35B8" w:rsidRDefault="002C35B8" w:rsidP="00F04F9F">
      <w:pPr>
        <w:rPr>
          <w:rFonts w:cstheme="minorHAnsi"/>
        </w:rPr>
      </w:pPr>
    </w:p>
    <w:p w14:paraId="382ADEFD" w14:textId="77777777" w:rsidR="002C35B8" w:rsidRDefault="002C35B8" w:rsidP="002C35B8">
      <w:pPr>
        <w:widowControl w:val="0"/>
        <w:tabs>
          <w:tab w:val="left" w:pos="993"/>
        </w:tabs>
        <w:autoSpaceDE w:val="0"/>
        <w:autoSpaceDN w:val="0"/>
        <w:adjustRightInd w:val="0"/>
        <w:jc w:val="both"/>
        <w:rPr>
          <w:rFonts w:eastAsia="Times New Roman" w:cstheme="minorHAnsi"/>
          <w:lang w:bidi="en-US"/>
        </w:rPr>
      </w:pPr>
      <w:r w:rsidRPr="00DC1CAF">
        <w:rPr>
          <w:rFonts w:eastAsia="Times New Roman" w:cstheme="minorHAnsi"/>
          <w:b/>
          <w:lang w:bidi="en-US"/>
        </w:rPr>
        <w:t>Reporting</w:t>
      </w:r>
      <w:r w:rsidRPr="00DC1CAF">
        <w:rPr>
          <w:rFonts w:eastAsia="Times New Roman" w:cstheme="minorHAnsi"/>
          <w:lang w:bidi="en-US"/>
        </w:rPr>
        <w:t xml:space="preserve">: </w:t>
      </w:r>
    </w:p>
    <w:p w14:paraId="5FB96CE5" w14:textId="64DA46FD" w:rsidR="002C35B8" w:rsidRPr="00434BD7" w:rsidRDefault="002C35B8" w:rsidP="002C35B8">
      <w:pPr>
        <w:widowControl w:val="0"/>
        <w:tabs>
          <w:tab w:val="left" w:pos="993"/>
        </w:tabs>
        <w:autoSpaceDE w:val="0"/>
        <w:autoSpaceDN w:val="0"/>
        <w:adjustRightInd w:val="0"/>
        <w:jc w:val="both"/>
        <w:rPr>
          <w:rFonts w:eastAsia="Times New Roman" w:cstheme="minorHAnsi"/>
          <w:lang w:bidi="en-US"/>
        </w:rPr>
      </w:pPr>
      <w:r>
        <w:rPr>
          <w:rFonts w:eastAsia="Times New Roman" w:cstheme="minorHAnsi"/>
          <w:lang w:bidi="en-US"/>
        </w:rPr>
        <w:t>Based in Singapore, the</w:t>
      </w:r>
      <w:r w:rsidRPr="00DC1CAF">
        <w:rPr>
          <w:rFonts w:ascii="Calibri" w:eastAsia="Times New Roman" w:hAnsi="Calibri" w:cs="Calibri"/>
          <w:color w:val="222222"/>
        </w:rPr>
        <w:t xml:space="preserve"> </w:t>
      </w:r>
      <w:r w:rsidRPr="00F04F9F">
        <w:rPr>
          <w:rFonts w:cstheme="minorHAnsi"/>
        </w:rPr>
        <w:t xml:space="preserve">Regional Coordinator </w:t>
      </w:r>
      <w:r w:rsidRPr="00DC1CAF">
        <w:rPr>
          <w:rFonts w:ascii="Calibri" w:eastAsia="Times New Roman" w:hAnsi="Calibri" w:cs="Calibri"/>
          <w:color w:val="222222"/>
        </w:rPr>
        <w:t xml:space="preserve">will report to the </w:t>
      </w:r>
      <w:r>
        <w:rPr>
          <w:rFonts w:ascii="Calibri" w:eastAsia="Times New Roman" w:hAnsi="Calibri" w:cs="Calibri"/>
          <w:color w:val="222222"/>
        </w:rPr>
        <w:t xml:space="preserve">Regional </w:t>
      </w:r>
      <w:r w:rsidRPr="00DC1CAF">
        <w:rPr>
          <w:rFonts w:ascii="Calibri" w:eastAsia="Times New Roman" w:hAnsi="Calibri" w:cs="Calibri"/>
          <w:color w:val="222222"/>
        </w:rPr>
        <w:t>Director</w:t>
      </w:r>
      <w:r>
        <w:rPr>
          <w:rFonts w:ascii="Calibri" w:eastAsia="Times New Roman" w:hAnsi="Calibri" w:cs="Calibri"/>
          <w:color w:val="222222"/>
        </w:rPr>
        <w:t>, Southeast Asia</w:t>
      </w:r>
    </w:p>
    <w:p w14:paraId="679376FD" w14:textId="77777777" w:rsidR="002C35B8" w:rsidRDefault="002C35B8" w:rsidP="002C35B8">
      <w:pPr>
        <w:pStyle w:val="Style"/>
        <w:tabs>
          <w:tab w:val="left" w:pos="993"/>
        </w:tabs>
        <w:spacing w:line="276" w:lineRule="auto"/>
        <w:rPr>
          <w:rFonts w:asciiTheme="minorHAnsi" w:hAnsiTheme="minorHAnsi" w:cstheme="minorHAnsi"/>
          <w:b/>
          <w:sz w:val="22"/>
          <w:szCs w:val="22"/>
        </w:rPr>
      </w:pPr>
    </w:p>
    <w:p w14:paraId="1F48B409" w14:textId="77777777" w:rsidR="002C35B8" w:rsidRDefault="002C35B8" w:rsidP="002C35B8">
      <w:pPr>
        <w:pStyle w:val="Style"/>
        <w:tabs>
          <w:tab w:val="left" w:pos="993"/>
        </w:tabs>
        <w:spacing w:line="276" w:lineRule="auto"/>
        <w:rPr>
          <w:rFonts w:asciiTheme="minorHAnsi" w:hAnsiTheme="minorHAnsi" w:cstheme="minorHAnsi"/>
          <w:b/>
          <w:sz w:val="22"/>
          <w:szCs w:val="22"/>
        </w:rPr>
      </w:pPr>
      <w:r w:rsidRPr="00DC1CAF">
        <w:rPr>
          <w:rFonts w:asciiTheme="minorHAnsi" w:hAnsiTheme="minorHAnsi" w:cstheme="minorHAnsi"/>
          <w:b/>
          <w:sz w:val="22"/>
          <w:szCs w:val="22"/>
        </w:rPr>
        <w:t>Term</w:t>
      </w:r>
    </w:p>
    <w:p w14:paraId="432F74DE" w14:textId="77777777" w:rsidR="002C35B8" w:rsidRPr="00DC1CAF" w:rsidRDefault="002C35B8" w:rsidP="002C35B8">
      <w:pPr>
        <w:pStyle w:val="Style"/>
        <w:tabs>
          <w:tab w:val="left" w:pos="993"/>
        </w:tabs>
        <w:spacing w:line="276" w:lineRule="auto"/>
        <w:rPr>
          <w:rFonts w:asciiTheme="minorHAnsi" w:hAnsiTheme="minorHAnsi" w:cstheme="minorHAnsi"/>
          <w:b/>
          <w:sz w:val="22"/>
          <w:szCs w:val="22"/>
        </w:rPr>
      </w:pPr>
    </w:p>
    <w:p w14:paraId="0EA339F3" w14:textId="2DA84A7E" w:rsidR="002C35B8" w:rsidRPr="00DD457C" w:rsidRDefault="002C35B8" w:rsidP="002C35B8">
      <w:pPr>
        <w:pStyle w:val="Style"/>
        <w:tabs>
          <w:tab w:val="left" w:pos="993"/>
        </w:tabs>
        <w:spacing w:line="276" w:lineRule="auto"/>
        <w:jc w:val="both"/>
        <w:rPr>
          <w:rFonts w:asciiTheme="minorHAnsi" w:hAnsiTheme="minorHAnsi" w:cstheme="minorHAnsi"/>
          <w:sz w:val="22"/>
          <w:szCs w:val="22"/>
          <w:lang w:val="en-SG"/>
        </w:rPr>
      </w:pPr>
      <w:r w:rsidRPr="00DD457C">
        <w:rPr>
          <w:rFonts w:asciiTheme="minorHAnsi" w:hAnsiTheme="minorHAnsi" w:cstheme="minorHAnsi"/>
          <w:sz w:val="22"/>
          <w:szCs w:val="22"/>
          <w:lang w:val="en-SG"/>
        </w:rPr>
        <w:t xml:space="preserve">This engagement shall commence upon execution of this Agreement. The Agreement shall continue in full force and effect from </w:t>
      </w:r>
      <w:r>
        <w:rPr>
          <w:rFonts w:asciiTheme="minorHAnsi" w:hAnsiTheme="minorHAnsi" w:cstheme="minorHAnsi"/>
          <w:sz w:val="22"/>
          <w:szCs w:val="22"/>
          <w:lang w:val="en-SG"/>
        </w:rPr>
        <w:t xml:space="preserve">July </w:t>
      </w:r>
      <w:r w:rsidR="00A847B9">
        <w:rPr>
          <w:rFonts w:asciiTheme="minorHAnsi" w:hAnsiTheme="minorHAnsi" w:cstheme="minorHAnsi"/>
          <w:sz w:val="22"/>
          <w:szCs w:val="22"/>
          <w:lang w:val="en-SG"/>
        </w:rPr>
        <w:t>5</w:t>
      </w:r>
      <w:r w:rsidRPr="00DD457C">
        <w:rPr>
          <w:rFonts w:asciiTheme="minorHAnsi" w:hAnsiTheme="minorHAnsi" w:cstheme="minorHAnsi"/>
          <w:sz w:val="22"/>
          <w:szCs w:val="22"/>
          <w:lang w:val="en-SG"/>
        </w:rPr>
        <w:t>, 202</w:t>
      </w:r>
      <w:r>
        <w:rPr>
          <w:rFonts w:asciiTheme="minorHAnsi" w:hAnsiTheme="minorHAnsi" w:cstheme="minorHAnsi"/>
          <w:sz w:val="22"/>
          <w:szCs w:val="22"/>
          <w:lang w:val="en-SG"/>
        </w:rPr>
        <w:t>1</w:t>
      </w:r>
      <w:r w:rsidRPr="00DD457C">
        <w:rPr>
          <w:rFonts w:asciiTheme="minorHAnsi" w:hAnsiTheme="minorHAnsi" w:cstheme="minorHAnsi"/>
          <w:sz w:val="22"/>
          <w:szCs w:val="22"/>
          <w:lang w:val="en-SG"/>
        </w:rPr>
        <w:t xml:space="preserve"> to </w:t>
      </w:r>
      <w:r w:rsidR="00A847B9">
        <w:rPr>
          <w:rFonts w:asciiTheme="minorHAnsi" w:hAnsiTheme="minorHAnsi" w:cstheme="minorHAnsi"/>
          <w:sz w:val="22"/>
          <w:szCs w:val="22"/>
          <w:lang w:val="en-SG"/>
        </w:rPr>
        <w:t>July 4</w:t>
      </w:r>
      <w:r w:rsidRPr="00DD457C">
        <w:rPr>
          <w:rFonts w:asciiTheme="minorHAnsi" w:hAnsiTheme="minorHAnsi" w:cstheme="minorHAnsi"/>
          <w:sz w:val="22"/>
          <w:szCs w:val="22"/>
          <w:lang w:val="en-SG"/>
        </w:rPr>
        <w:t>, 202</w:t>
      </w:r>
      <w:r>
        <w:rPr>
          <w:rFonts w:asciiTheme="minorHAnsi" w:hAnsiTheme="minorHAnsi" w:cstheme="minorHAnsi"/>
          <w:sz w:val="22"/>
          <w:szCs w:val="22"/>
          <w:lang w:val="en-SG"/>
        </w:rPr>
        <w:t>2</w:t>
      </w:r>
      <w:r w:rsidRPr="00DD457C">
        <w:rPr>
          <w:rFonts w:asciiTheme="minorHAnsi" w:hAnsiTheme="minorHAnsi" w:cstheme="minorHAnsi"/>
          <w:sz w:val="22"/>
          <w:szCs w:val="22"/>
          <w:lang w:val="en-SG"/>
        </w:rPr>
        <w:t xml:space="preserve">. </w:t>
      </w:r>
    </w:p>
    <w:p w14:paraId="26F2D5D4" w14:textId="77777777" w:rsidR="002C35B8" w:rsidRPr="00DD457C" w:rsidRDefault="002C35B8" w:rsidP="002C35B8">
      <w:pPr>
        <w:rPr>
          <w:rFonts w:eastAsia="Times New Roman" w:cstheme="minorHAnsi"/>
          <w:lang w:bidi="en-US"/>
        </w:rPr>
      </w:pPr>
    </w:p>
    <w:p w14:paraId="5E4FD853" w14:textId="77777777" w:rsidR="002C35B8" w:rsidRPr="00F04F9F" w:rsidRDefault="002C35B8" w:rsidP="00F04F9F">
      <w:pPr>
        <w:rPr>
          <w:rFonts w:cstheme="minorHAnsi"/>
        </w:rPr>
      </w:pPr>
    </w:p>
    <w:sectPr w:rsidR="002C35B8" w:rsidRPr="00F0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2E6F"/>
    <w:multiLevelType w:val="hybridMultilevel"/>
    <w:tmpl w:val="0FB6FF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946F8"/>
    <w:multiLevelType w:val="hybridMultilevel"/>
    <w:tmpl w:val="35AA3E58"/>
    <w:lvl w:ilvl="0" w:tplc="68002F1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45BA3411"/>
    <w:multiLevelType w:val="hybridMultilevel"/>
    <w:tmpl w:val="7BCA5A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A763060"/>
    <w:multiLevelType w:val="hybridMultilevel"/>
    <w:tmpl w:val="0A769DD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9F"/>
    <w:rsid w:val="002167F3"/>
    <w:rsid w:val="002C35B8"/>
    <w:rsid w:val="00A847B9"/>
    <w:rsid w:val="00F04F9F"/>
    <w:rsid w:val="00FB161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0BD52"/>
  <w15:chartTrackingRefBased/>
  <w15:docId w15:val="{5861493A-9782-4FE9-AC85-1C10CE99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9F"/>
    <w:pPr>
      <w:ind w:left="720"/>
      <w:contextualSpacing/>
    </w:pPr>
  </w:style>
  <w:style w:type="paragraph" w:customStyle="1" w:styleId="Style">
    <w:name w:val="Style"/>
    <w:rsid w:val="002C35B8"/>
    <w:pPr>
      <w:widowControl w:val="0"/>
      <w:autoSpaceDE w:val="0"/>
      <w:autoSpaceDN w:val="0"/>
      <w:adjustRightInd w:val="0"/>
      <w:spacing w:after="0" w:line="240" w:lineRule="auto"/>
    </w:pPr>
    <w:rPr>
      <w:rFonts w:ascii="Times" w:eastAsia="Times New Roman" w:hAnsi="Times" w:cs="Times"/>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dc:creator>
  <cp:keywords/>
  <dc:description/>
  <cp:lastModifiedBy>Lakshmi Shanti</cp:lastModifiedBy>
  <cp:revision>4</cp:revision>
  <dcterms:created xsi:type="dcterms:W3CDTF">2021-06-23T05:28:00Z</dcterms:created>
  <dcterms:modified xsi:type="dcterms:W3CDTF">2021-06-28T11:43:00Z</dcterms:modified>
</cp:coreProperties>
</file>