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C73" w:rsidRPr="00415996" w:rsidRDefault="00331C73" w:rsidP="005134D5">
      <w:pPr>
        <w:spacing w:after="0"/>
        <w:rPr>
          <w:rFonts w:ascii="Arial" w:hAnsi="Arial" w:cs="Arial"/>
          <w:color w:val="222222"/>
          <w:shd w:val="clear" w:color="auto" w:fill="FFFFFF"/>
        </w:rPr>
      </w:pPr>
      <w:r w:rsidRPr="003A72E1">
        <w:rPr>
          <w:rFonts w:ascii="Arial" w:hAnsi="Arial" w:cs="Arial"/>
          <w:b/>
        </w:rPr>
        <w:t>Title</w:t>
      </w:r>
    </w:p>
    <w:p w:rsidR="00331C73" w:rsidRPr="00415996" w:rsidRDefault="00331C73" w:rsidP="005134D5">
      <w:pPr>
        <w:spacing w:after="0"/>
        <w:rPr>
          <w:rFonts w:ascii="Arial" w:hAnsi="Arial" w:cs="Arial"/>
          <w:color w:val="222222"/>
          <w:shd w:val="clear" w:color="auto" w:fill="FFFFFF"/>
        </w:rPr>
      </w:pPr>
    </w:p>
    <w:p w:rsidR="003A72E1" w:rsidRPr="003A72E1" w:rsidRDefault="00E426FA" w:rsidP="003A72E1">
      <w:pPr>
        <w:spacing w:after="0"/>
        <w:jc w:val="both"/>
        <w:rPr>
          <w:rFonts w:ascii="Arial" w:hAnsi="Arial" w:cs="Arial"/>
          <w:color w:val="222222"/>
          <w:shd w:val="clear" w:color="auto" w:fill="FFFFFF"/>
        </w:rPr>
      </w:pPr>
      <w:r w:rsidRPr="00E426FA">
        <w:rPr>
          <w:rFonts w:ascii="Arial" w:hAnsi="Arial" w:cs="Arial"/>
          <w:color w:val="222222"/>
          <w:shd w:val="clear" w:color="auto" w:fill="FFFFFF"/>
        </w:rPr>
        <w:t>Research Associate -</w:t>
      </w:r>
      <w:r w:rsidR="00862F6B">
        <w:rPr>
          <w:rFonts w:ascii="Arial" w:hAnsi="Arial" w:cs="Arial"/>
          <w:color w:val="222222"/>
          <w:shd w:val="clear" w:color="auto" w:fill="FFFFFF"/>
        </w:rPr>
        <w:t xml:space="preserve"> </w:t>
      </w:r>
      <w:r w:rsidRPr="00E426FA">
        <w:rPr>
          <w:rFonts w:ascii="Arial" w:hAnsi="Arial" w:cs="Arial"/>
          <w:color w:val="222222"/>
          <w:shd w:val="clear" w:color="auto" w:fill="FFFFFF"/>
        </w:rPr>
        <w:t>Health Systems Governance</w:t>
      </w:r>
    </w:p>
    <w:p w:rsidR="00331C73" w:rsidRPr="003A72E1" w:rsidRDefault="00331C73" w:rsidP="005134D5">
      <w:pPr>
        <w:spacing w:after="0"/>
        <w:rPr>
          <w:rFonts w:ascii="Arial" w:hAnsi="Arial" w:cs="Arial"/>
          <w:b/>
        </w:rPr>
      </w:pPr>
    </w:p>
    <w:p w:rsidR="0079541B" w:rsidRDefault="008D4B9E" w:rsidP="005134D5">
      <w:pPr>
        <w:spacing w:after="0"/>
        <w:rPr>
          <w:rFonts w:ascii="Arial" w:hAnsi="Arial" w:cs="Arial"/>
          <w:b/>
        </w:rPr>
      </w:pPr>
      <w:r w:rsidRPr="003A72E1">
        <w:rPr>
          <w:rFonts w:ascii="Arial" w:hAnsi="Arial" w:cs="Arial"/>
          <w:b/>
        </w:rPr>
        <w:t>Scope of Work</w:t>
      </w:r>
    </w:p>
    <w:p w:rsidR="00E426FA" w:rsidRPr="003A72E1" w:rsidRDefault="00E426FA" w:rsidP="005134D5">
      <w:pPr>
        <w:spacing w:after="0"/>
        <w:rPr>
          <w:rFonts w:ascii="Arial" w:hAnsi="Arial" w:cs="Arial"/>
          <w:b/>
        </w:rPr>
      </w:pPr>
    </w:p>
    <w:p w:rsidR="00E426FA" w:rsidRPr="00692883" w:rsidRDefault="00862F6B" w:rsidP="00E426FA">
      <w:pPr>
        <w:spacing w:after="0"/>
        <w:jc w:val="both"/>
        <w:rPr>
          <w:rFonts w:ascii="Arial" w:hAnsi="Arial" w:cs="Arial"/>
          <w:color w:val="222222"/>
          <w:shd w:val="clear" w:color="auto" w:fill="FFFFFF"/>
        </w:rPr>
      </w:pPr>
      <w:r>
        <w:rPr>
          <w:rFonts w:ascii="Arial" w:hAnsi="Arial" w:cs="Arial"/>
          <w:color w:val="222222"/>
          <w:shd w:val="clear" w:color="auto" w:fill="FFFFFF"/>
        </w:rPr>
        <w:t xml:space="preserve">Research Associate - </w:t>
      </w:r>
      <w:r w:rsidR="00E426FA" w:rsidRPr="00692883">
        <w:rPr>
          <w:rFonts w:ascii="Arial" w:hAnsi="Arial" w:cs="Arial"/>
          <w:color w:val="222222"/>
          <w:shd w:val="clear" w:color="auto" w:fill="FFFFFF"/>
        </w:rPr>
        <w:t xml:space="preserve">Health Systems Governance </w:t>
      </w:r>
      <w:r w:rsidR="003A72E1" w:rsidRPr="00692883">
        <w:rPr>
          <w:rFonts w:ascii="Arial" w:hAnsi="Arial" w:cs="Arial"/>
          <w:color w:val="222222"/>
          <w:shd w:val="clear" w:color="auto" w:fill="FFFFFF"/>
        </w:rPr>
        <w:t>will support</w:t>
      </w:r>
      <w:r w:rsidR="00EF27F1" w:rsidRPr="00692883">
        <w:rPr>
          <w:rFonts w:ascii="Arial" w:hAnsi="Arial" w:cs="Arial"/>
          <w:color w:val="222222"/>
          <w:shd w:val="clear" w:color="auto" w:fill="FFFFFF"/>
        </w:rPr>
        <w:t xml:space="preserve"> </w:t>
      </w:r>
      <w:r w:rsidR="00E426FA" w:rsidRPr="00692883">
        <w:rPr>
          <w:rFonts w:ascii="Arial" w:hAnsi="Arial" w:cs="Arial"/>
        </w:rPr>
        <w:t>the</w:t>
      </w:r>
      <w:r w:rsidR="00E426FA" w:rsidRPr="00692883">
        <w:rPr>
          <w:rFonts w:ascii="Arial" w:hAnsi="Arial" w:cs="Arial"/>
          <w:color w:val="222222"/>
          <w:shd w:val="clear" w:color="auto" w:fill="FFFFFF"/>
        </w:rPr>
        <w:t xml:space="preserve"> Health Systems Transformation Platform and its partners with a mandate to work on strengthening health systems governance in India with a focus on regulation of health care practitioners and health facilities to improve the availability and quality of health care services, which is critical to the success of the </w:t>
      </w:r>
      <w:proofErr w:type="spellStart"/>
      <w:r w:rsidR="00E426FA" w:rsidRPr="00692883">
        <w:rPr>
          <w:rFonts w:ascii="Arial" w:hAnsi="Arial" w:cs="Arial"/>
          <w:color w:val="222222"/>
          <w:shd w:val="clear" w:color="auto" w:fill="FFFFFF"/>
        </w:rPr>
        <w:t>Pradhan</w:t>
      </w:r>
      <w:proofErr w:type="spellEnd"/>
      <w:r w:rsidR="00E426FA" w:rsidRPr="00692883">
        <w:rPr>
          <w:rFonts w:ascii="Arial" w:hAnsi="Arial" w:cs="Arial"/>
          <w:color w:val="222222"/>
          <w:shd w:val="clear" w:color="auto" w:fill="FFFFFF"/>
        </w:rPr>
        <w:t xml:space="preserve"> </w:t>
      </w:r>
      <w:proofErr w:type="spellStart"/>
      <w:r w:rsidR="00E426FA" w:rsidRPr="00692883">
        <w:rPr>
          <w:rFonts w:ascii="Arial" w:hAnsi="Arial" w:cs="Arial"/>
          <w:color w:val="222222"/>
          <w:shd w:val="clear" w:color="auto" w:fill="FFFFFF"/>
        </w:rPr>
        <w:t>Mantri</w:t>
      </w:r>
      <w:proofErr w:type="spellEnd"/>
      <w:r w:rsidR="00E426FA" w:rsidRPr="00692883">
        <w:rPr>
          <w:rFonts w:ascii="Arial" w:hAnsi="Arial" w:cs="Arial"/>
          <w:color w:val="222222"/>
          <w:shd w:val="clear" w:color="auto" w:fill="FFFFFF"/>
        </w:rPr>
        <w:t xml:space="preserve"> Jan </w:t>
      </w:r>
      <w:proofErr w:type="spellStart"/>
      <w:r w:rsidR="00E426FA" w:rsidRPr="00692883">
        <w:rPr>
          <w:rFonts w:ascii="Arial" w:hAnsi="Arial" w:cs="Arial"/>
          <w:color w:val="222222"/>
          <w:shd w:val="clear" w:color="auto" w:fill="FFFFFF"/>
        </w:rPr>
        <w:t>Aarogya</w:t>
      </w:r>
      <w:proofErr w:type="spellEnd"/>
      <w:r w:rsidR="00E426FA" w:rsidRPr="00692883">
        <w:rPr>
          <w:rFonts w:ascii="Arial" w:hAnsi="Arial" w:cs="Arial"/>
          <w:color w:val="222222"/>
          <w:shd w:val="clear" w:color="auto" w:fill="FFFFFF"/>
        </w:rPr>
        <w:t xml:space="preserve"> </w:t>
      </w:r>
      <w:proofErr w:type="spellStart"/>
      <w:r w:rsidR="00E426FA" w:rsidRPr="00692883">
        <w:rPr>
          <w:rFonts w:ascii="Arial" w:hAnsi="Arial" w:cs="Arial"/>
          <w:color w:val="222222"/>
          <w:shd w:val="clear" w:color="auto" w:fill="FFFFFF"/>
        </w:rPr>
        <w:t>Yojana</w:t>
      </w:r>
      <w:proofErr w:type="spellEnd"/>
      <w:r w:rsidR="00E426FA" w:rsidRPr="00692883">
        <w:rPr>
          <w:rFonts w:ascii="Arial" w:hAnsi="Arial" w:cs="Arial"/>
          <w:color w:val="222222"/>
          <w:shd w:val="clear" w:color="auto" w:fill="FFFFFF"/>
        </w:rPr>
        <w:t xml:space="preserve"> (PMJAY) to achieve universal health coverage (UHC).  Working under the guidance of Chief Executive Officer, HSTP &amp;Team Lead/ Adviser Health Systems Governance</w:t>
      </w:r>
      <w:r w:rsidR="00692883" w:rsidRPr="00692883">
        <w:rPr>
          <w:rFonts w:ascii="Arial" w:hAnsi="Arial" w:cs="Arial"/>
          <w:color w:val="222222"/>
          <w:shd w:val="clear" w:color="auto" w:fill="FFFFFF"/>
        </w:rPr>
        <w:t>,</w:t>
      </w:r>
      <w:r w:rsidR="00E426FA" w:rsidRPr="00692883">
        <w:rPr>
          <w:rFonts w:ascii="Arial" w:hAnsi="Arial" w:cs="Arial"/>
          <w:color w:val="222222"/>
          <w:shd w:val="clear" w:color="auto" w:fill="FFFFFF"/>
        </w:rPr>
        <w:t xml:space="preserve"> Consultant is expected to perform the following activities:</w:t>
      </w:r>
    </w:p>
    <w:p w:rsidR="00E426FA" w:rsidRPr="00692883" w:rsidRDefault="00E426FA" w:rsidP="00E426FA">
      <w:pPr>
        <w:spacing w:after="0"/>
        <w:jc w:val="both"/>
        <w:rPr>
          <w:rFonts w:ascii="Arial" w:hAnsi="Arial" w:cs="Arial"/>
          <w:color w:val="222222"/>
          <w:shd w:val="clear" w:color="auto" w:fill="FFFFFF"/>
        </w:rPr>
      </w:pPr>
    </w:p>
    <w:p w:rsidR="00E426FA" w:rsidRPr="00692883" w:rsidRDefault="00E426FA" w:rsidP="00E426FA">
      <w:pPr>
        <w:jc w:val="both"/>
        <w:rPr>
          <w:rFonts w:ascii="Arial" w:hAnsi="Arial" w:cs="Arial"/>
          <w:color w:val="222222"/>
          <w:shd w:val="clear" w:color="auto" w:fill="FFFFFF"/>
        </w:rPr>
      </w:pPr>
      <w:r w:rsidRPr="00692883">
        <w:rPr>
          <w:rFonts w:ascii="Arial" w:hAnsi="Arial" w:cs="Arial"/>
          <w:color w:val="222222"/>
          <w:shd w:val="clear" w:color="auto" w:fill="FFFFFF"/>
        </w:rPr>
        <w:t xml:space="preserve">HSTP and partners are engaged in research into expanding the scope of PMJAY so as to cover the population that has not been covered either by government funded health cover, social health insurance or private insurance and the modes of assuring primary care provision for all PMJAY beneficiaries. Developing strategies to achieve both the objectives requires an understanding of factors in the regulatory environment that facilitate and impede them. It will also help ensure that the procurement of services is done ensuring equity and quality. Regulation of health care will therefore help in ensuring that commensurate services are available in return for the financial coverage that PMJAY provides. </w:t>
      </w:r>
    </w:p>
    <w:p w:rsidR="00E426FA" w:rsidRPr="00692883" w:rsidRDefault="00E426FA" w:rsidP="00E426FA">
      <w:pPr>
        <w:jc w:val="both"/>
        <w:rPr>
          <w:rFonts w:ascii="Arial" w:hAnsi="Arial" w:cs="Arial"/>
          <w:color w:val="222222"/>
          <w:shd w:val="clear" w:color="auto" w:fill="FFFFFF"/>
        </w:rPr>
      </w:pPr>
      <w:r w:rsidRPr="00692883">
        <w:rPr>
          <w:rFonts w:ascii="Arial" w:hAnsi="Arial" w:cs="Arial"/>
          <w:color w:val="222222"/>
          <w:shd w:val="clear" w:color="auto" w:fill="FFFFFF"/>
        </w:rPr>
        <w:t xml:space="preserve">HSTP’s work on regulation of health care contributes to the efforts of the various health systems stakeholders at the national and state levels to improve the availability and quality of services, in both rural and urban areas and at all levels of care, including primary health care. It includes </w:t>
      </w:r>
      <w:proofErr w:type="spellStart"/>
      <w:r w:rsidRPr="00692883">
        <w:rPr>
          <w:rFonts w:ascii="Arial" w:hAnsi="Arial" w:cs="Arial"/>
          <w:color w:val="222222"/>
          <w:shd w:val="clear" w:color="auto" w:fill="FFFFFF"/>
        </w:rPr>
        <w:t>analysing</w:t>
      </w:r>
      <w:proofErr w:type="spellEnd"/>
      <w:r w:rsidRPr="00692883">
        <w:rPr>
          <w:rFonts w:ascii="Arial" w:hAnsi="Arial" w:cs="Arial"/>
          <w:color w:val="222222"/>
          <w:shd w:val="clear" w:color="auto" w:fill="FFFFFF"/>
        </w:rPr>
        <w:t xml:space="preserve"> the mechanisms available for regulating the health providers and working in collaboration with other stakeholders to strengthen them. This will help the PMJAY program in better monitoring of the services that its beneficiaries’ avail and bring in more efficiency in the system. </w:t>
      </w:r>
    </w:p>
    <w:p w:rsidR="00E426FA" w:rsidRPr="00692883" w:rsidRDefault="00E426FA" w:rsidP="00E426FA">
      <w:pPr>
        <w:pStyle w:val="ListParagraph"/>
        <w:numPr>
          <w:ilvl w:val="0"/>
          <w:numId w:val="4"/>
        </w:numPr>
        <w:tabs>
          <w:tab w:val="clear" w:pos="720"/>
          <w:tab w:val="num" w:pos="360"/>
        </w:tabs>
        <w:spacing w:before="100" w:beforeAutospacing="1" w:after="100" w:afterAutospacing="1" w:line="276" w:lineRule="auto"/>
        <w:ind w:left="360"/>
        <w:jc w:val="both"/>
        <w:rPr>
          <w:rFonts w:ascii="Arial" w:hAnsi="Arial" w:cs="Arial"/>
          <w:color w:val="222222"/>
          <w:shd w:val="clear" w:color="auto" w:fill="FFFFFF"/>
        </w:rPr>
      </w:pPr>
      <w:r w:rsidRPr="00692883">
        <w:rPr>
          <w:rFonts w:ascii="Arial" w:hAnsi="Arial" w:cs="Arial"/>
          <w:color w:val="222222"/>
          <w:shd w:val="clear" w:color="auto" w:fill="FFFFFF"/>
        </w:rPr>
        <w:t>Support the analysis of governance and regulatory mechanisms in the Indian health sector encompassing all its key components- provision, financing, functioning of health facilities, pricing, quality of care, human resources, pharmaceuticals, vaccines, diagnostic and therapeutic machines, medical products, information systems, public health, and environmental aspects etc.</w:t>
      </w:r>
    </w:p>
    <w:p w:rsidR="00E426FA" w:rsidRPr="00692883" w:rsidRDefault="00E426FA" w:rsidP="00E426FA">
      <w:pPr>
        <w:numPr>
          <w:ilvl w:val="0"/>
          <w:numId w:val="4"/>
        </w:numPr>
        <w:tabs>
          <w:tab w:val="clear" w:pos="720"/>
          <w:tab w:val="num" w:pos="360"/>
        </w:tabs>
        <w:spacing w:before="100" w:beforeAutospacing="1" w:after="100" w:afterAutospacing="1"/>
        <w:ind w:left="360"/>
        <w:jc w:val="both"/>
        <w:rPr>
          <w:rFonts w:ascii="Arial" w:hAnsi="Arial" w:cs="Arial"/>
          <w:color w:val="222222"/>
          <w:shd w:val="clear" w:color="auto" w:fill="FFFFFF"/>
        </w:rPr>
      </w:pPr>
      <w:r w:rsidRPr="00692883">
        <w:rPr>
          <w:rFonts w:ascii="Arial" w:hAnsi="Arial" w:cs="Arial"/>
          <w:color w:val="222222"/>
          <w:shd w:val="clear" w:color="auto" w:fill="FFFFFF"/>
        </w:rPr>
        <w:t xml:space="preserve">Support the analysis of health regulations in India to identify areas that facilitate contracting purchase of hospital services under PMJAY, especially those that pertain to health care providers, facilities, systems for ensuring accountability of providers and health facilities to patients and their families. </w:t>
      </w:r>
    </w:p>
    <w:p w:rsidR="00E426FA" w:rsidRPr="00692883" w:rsidRDefault="00E426FA" w:rsidP="00E426FA">
      <w:pPr>
        <w:numPr>
          <w:ilvl w:val="0"/>
          <w:numId w:val="4"/>
        </w:numPr>
        <w:tabs>
          <w:tab w:val="clear" w:pos="720"/>
          <w:tab w:val="num" w:pos="360"/>
        </w:tabs>
        <w:spacing w:before="100" w:beforeAutospacing="1" w:after="100" w:afterAutospacing="1"/>
        <w:ind w:left="360"/>
        <w:jc w:val="both"/>
        <w:rPr>
          <w:rFonts w:ascii="Arial" w:hAnsi="Arial" w:cs="Arial"/>
          <w:color w:val="222222"/>
          <w:shd w:val="clear" w:color="auto" w:fill="FFFFFF"/>
        </w:rPr>
      </w:pPr>
      <w:r w:rsidRPr="00692883">
        <w:rPr>
          <w:rFonts w:ascii="Arial" w:hAnsi="Arial" w:cs="Arial"/>
          <w:color w:val="222222"/>
          <w:shd w:val="clear" w:color="auto" w:fill="FFFFFF"/>
        </w:rPr>
        <w:t>Support in identifying areas in health care which have inadequate regulation and develop proposals for covering the gaps.</w:t>
      </w:r>
    </w:p>
    <w:p w:rsidR="00E426FA" w:rsidRPr="00692883" w:rsidRDefault="00E426FA" w:rsidP="00E426FA">
      <w:pPr>
        <w:numPr>
          <w:ilvl w:val="0"/>
          <w:numId w:val="4"/>
        </w:numPr>
        <w:tabs>
          <w:tab w:val="clear" w:pos="720"/>
          <w:tab w:val="num" w:pos="360"/>
        </w:tabs>
        <w:spacing w:before="100" w:beforeAutospacing="1" w:after="100" w:afterAutospacing="1"/>
        <w:ind w:left="360"/>
        <w:jc w:val="both"/>
        <w:rPr>
          <w:rFonts w:ascii="Arial" w:hAnsi="Arial" w:cs="Arial"/>
          <w:color w:val="222222"/>
          <w:shd w:val="clear" w:color="auto" w:fill="FFFFFF"/>
        </w:rPr>
      </w:pPr>
      <w:r w:rsidRPr="00692883">
        <w:rPr>
          <w:rFonts w:ascii="Arial" w:hAnsi="Arial" w:cs="Arial"/>
          <w:color w:val="222222"/>
          <w:shd w:val="clear" w:color="auto" w:fill="FFFFFF"/>
        </w:rPr>
        <w:t xml:space="preserve">Support in </w:t>
      </w:r>
      <w:proofErr w:type="spellStart"/>
      <w:r w:rsidRPr="00692883">
        <w:rPr>
          <w:rFonts w:ascii="Arial" w:hAnsi="Arial" w:cs="Arial"/>
          <w:color w:val="222222"/>
          <w:shd w:val="clear" w:color="auto" w:fill="FFFFFF"/>
        </w:rPr>
        <w:t>synthesising</w:t>
      </w:r>
      <w:proofErr w:type="spellEnd"/>
      <w:r w:rsidRPr="00692883">
        <w:rPr>
          <w:rFonts w:ascii="Arial" w:hAnsi="Arial" w:cs="Arial"/>
          <w:color w:val="222222"/>
          <w:shd w:val="clear" w:color="auto" w:fill="FFFFFF"/>
        </w:rPr>
        <w:t xml:space="preserve"> existing evidence in this area and </w:t>
      </w:r>
      <w:proofErr w:type="spellStart"/>
      <w:r w:rsidRPr="00692883">
        <w:rPr>
          <w:rFonts w:ascii="Arial" w:hAnsi="Arial" w:cs="Arial"/>
          <w:color w:val="222222"/>
          <w:shd w:val="clear" w:color="auto" w:fill="FFFFFF"/>
        </w:rPr>
        <w:t>analyse</w:t>
      </w:r>
      <w:proofErr w:type="spellEnd"/>
      <w:r w:rsidRPr="00692883">
        <w:rPr>
          <w:rFonts w:ascii="Arial" w:hAnsi="Arial" w:cs="Arial"/>
          <w:color w:val="222222"/>
          <w:shd w:val="clear" w:color="auto" w:fill="FFFFFF"/>
        </w:rPr>
        <w:t xml:space="preserve"> gaps, challenges, and opportunities to identify areas for intervention either at state or national level.</w:t>
      </w:r>
    </w:p>
    <w:p w:rsidR="00E426FA" w:rsidRPr="00692883" w:rsidRDefault="00E426FA" w:rsidP="00E426FA">
      <w:pPr>
        <w:numPr>
          <w:ilvl w:val="0"/>
          <w:numId w:val="4"/>
        </w:numPr>
        <w:tabs>
          <w:tab w:val="clear" w:pos="720"/>
          <w:tab w:val="num" w:pos="360"/>
        </w:tabs>
        <w:spacing w:before="100" w:beforeAutospacing="1" w:after="100" w:afterAutospacing="1"/>
        <w:ind w:left="360"/>
        <w:jc w:val="both"/>
        <w:rPr>
          <w:rFonts w:ascii="Arial" w:hAnsi="Arial" w:cs="Arial"/>
          <w:color w:val="222222"/>
          <w:shd w:val="clear" w:color="auto" w:fill="FFFFFF"/>
        </w:rPr>
      </w:pPr>
      <w:r w:rsidRPr="00692883">
        <w:rPr>
          <w:rFonts w:ascii="Arial" w:hAnsi="Arial" w:cs="Arial"/>
          <w:color w:val="222222"/>
          <w:shd w:val="clear" w:color="auto" w:fill="FFFFFF"/>
        </w:rPr>
        <w:lastRenderedPageBreak/>
        <w:t>Support in documenting global and Indian best practices in Health Systems Governance and Regulation and develop case studies.</w:t>
      </w:r>
    </w:p>
    <w:p w:rsidR="00E426FA" w:rsidRPr="00692883" w:rsidRDefault="00E426FA" w:rsidP="00E426FA">
      <w:pPr>
        <w:numPr>
          <w:ilvl w:val="0"/>
          <w:numId w:val="4"/>
        </w:numPr>
        <w:tabs>
          <w:tab w:val="clear" w:pos="720"/>
          <w:tab w:val="num" w:pos="360"/>
        </w:tabs>
        <w:spacing w:before="100" w:beforeAutospacing="1" w:after="100" w:afterAutospacing="1"/>
        <w:ind w:left="360"/>
        <w:jc w:val="both"/>
        <w:rPr>
          <w:rFonts w:ascii="Arial" w:hAnsi="Arial" w:cs="Arial"/>
          <w:color w:val="222222"/>
          <w:shd w:val="clear" w:color="auto" w:fill="FFFFFF"/>
        </w:rPr>
      </w:pPr>
      <w:r w:rsidRPr="00692883">
        <w:rPr>
          <w:rFonts w:ascii="Arial" w:hAnsi="Arial" w:cs="Arial"/>
          <w:color w:val="222222"/>
          <w:shd w:val="clear" w:color="auto" w:fill="FFFFFF"/>
        </w:rPr>
        <w:t>Disseminate the findings of research studies conducted and contribute to the discourse on health regulation.</w:t>
      </w:r>
    </w:p>
    <w:p w:rsidR="00E426FA" w:rsidRPr="00692883" w:rsidRDefault="00E426FA" w:rsidP="00E426FA">
      <w:pPr>
        <w:numPr>
          <w:ilvl w:val="0"/>
          <w:numId w:val="4"/>
        </w:numPr>
        <w:tabs>
          <w:tab w:val="clear" w:pos="720"/>
          <w:tab w:val="num" w:pos="360"/>
        </w:tabs>
        <w:spacing w:before="100" w:beforeAutospacing="1" w:after="100" w:afterAutospacing="1"/>
        <w:ind w:left="360"/>
        <w:jc w:val="both"/>
        <w:rPr>
          <w:rFonts w:ascii="Arial" w:hAnsi="Arial" w:cs="Arial"/>
          <w:color w:val="222222"/>
          <w:shd w:val="clear" w:color="auto" w:fill="FFFFFF"/>
        </w:rPr>
      </w:pPr>
      <w:r w:rsidRPr="00692883">
        <w:rPr>
          <w:rFonts w:ascii="Arial" w:hAnsi="Arial" w:cs="Arial"/>
          <w:color w:val="222222"/>
          <w:shd w:val="clear" w:color="auto" w:fill="FFFFFF"/>
        </w:rPr>
        <w:t xml:space="preserve">Assist in </w:t>
      </w:r>
      <w:proofErr w:type="spellStart"/>
      <w:r w:rsidRPr="00692883">
        <w:rPr>
          <w:rFonts w:ascii="Arial" w:hAnsi="Arial" w:cs="Arial"/>
          <w:color w:val="222222"/>
          <w:shd w:val="clear" w:color="auto" w:fill="FFFFFF"/>
        </w:rPr>
        <w:t>organising</w:t>
      </w:r>
      <w:proofErr w:type="spellEnd"/>
      <w:r w:rsidRPr="00692883">
        <w:rPr>
          <w:rFonts w:ascii="Arial" w:hAnsi="Arial" w:cs="Arial"/>
          <w:color w:val="222222"/>
          <w:shd w:val="clear" w:color="auto" w:fill="FFFFFF"/>
        </w:rPr>
        <w:t xml:space="preserve"> seminars to deliberate upon issues related to health regulation in India and strategies with various stakeholders on how to strengthen them. </w:t>
      </w:r>
    </w:p>
    <w:p w:rsidR="00E426FA" w:rsidRPr="00692883" w:rsidRDefault="00E426FA" w:rsidP="00E426FA">
      <w:pPr>
        <w:numPr>
          <w:ilvl w:val="0"/>
          <w:numId w:val="4"/>
        </w:numPr>
        <w:tabs>
          <w:tab w:val="clear" w:pos="720"/>
          <w:tab w:val="num" w:pos="360"/>
        </w:tabs>
        <w:spacing w:before="100" w:beforeAutospacing="1" w:after="100" w:afterAutospacing="1"/>
        <w:ind w:left="360"/>
        <w:jc w:val="both"/>
        <w:rPr>
          <w:rFonts w:ascii="Arial" w:hAnsi="Arial" w:cs="Arial"/>
          <w:color w:val="222222"/>
          <w:shd w:val="clear" w:color="auto" w:fill="FFFFFF"/>
        </w:rPr>
      </w:pPr>
      <w:r w:rsidRPr="00692883">
        <w:rPr>
          <w:rFonts w:ascii="Arial" w:hAnsi="Arial" w:cs="Arial"/>
          <w:color w:val="222222"/>
          <w:shd w:val="clear" w:color="auto" w:fill="FFFFFF"/>
        </w:rPr>
        <w:t>Support and provide technical assistance in developing resource / training material / toolkits/ templates for strengthening the governance and regulatory capacities at various levels. </w:t>
      </w:r>
    </w:p>
    <w:p w:rsidR="003A72E1" w:rsidRPr="00692883" w:rsidRDefault="00E426FA" w:rsidP="003A72E1">
      <w:pPr>
        <w:numPr>
          <w:ilvl w:val="0"/>
          <w:numId w:val="4"/>
        </w:numPr>
        <w:tabs>
          <w:tab w:val="clear" w:pos="720"/>
          <w:tab w:val="num" w:pos="360"/>
        </w:tabs>
        <w:spacing w:before="100" w:beforeAutospacing="1" w:after="100" w:afterAutospacing="1"/>
        <w:ind w:left="360"/>
        <w:jc w:val="both"/>
        <w:rPr>
          <w:rFonts w:ascii="Arial" w:hAnsi="Arial" w:cs="Arial"/>
          <w:color w:val="222222"/>
          <w:shd w:val="clear" w:color="auto" w:fill="FFFFFF"/>
        </w:rPr>
      </w:pPr>
      <w:r w:rsidRPr="00692883">
        <w:rPr>
          <w:rFonts w:ascii="Arial" w:hAnsi="Arial" w:cs="Arial"/>
          <w:color w:val="222222"/>
          <w:shd w:val="clear" w:color="auto" w:fill="FFFFFF"/>
        </w:rPr>
        <w:t>Produce, in collaboration with other consultants one book that highlights the reach and gaps of health regulation in India.</w:t>
      </w:r>
    </w:p>
    <w:p w:rsidR="00692883" w:rsidRDefault="00692883" w:rsidP="0079541B">
      <w:pPr>
        <w:rPr>
          <w:rFonts w:ascii="Arial" w:hAnsi="Arial" w:cs="Arial"/>
          <w:b/>
        </w:rPr>
      </w:pPr>
    </w:p>
    <w:p w:rsidR="0079541B" w:rsidRPr="003A72E1" w:rsidRDefault="0079541B" w:rsidP="0079541B">
      <w:pPr>
        <w:rPr>
          <w:rFonts w:ascii="Arial" w:hAnsi="Arial" w:cs="Arial"/>
          <w:b/>
        </w:rPr>
      </w:pPr>
      <w:r w:rsidRPr="003A72E1">
        <w:rPr>
          <w:rFonts w:ascii="Arial" w:hAnsi="Arial" w:cs="Arial"/>
          <w:b/>
        </w:rPr>
        <w:t>Compensation</w:t>
      </w:r>
    </w:p>
    <w:p w:rsidR="0079541B" w:rsidRPr="003A72E1" w:rsidRDefault="0079541B" w:rsidP="0079541B">
      <w:pPr>
        <w:jc w:val="both"/>
        <w:rPr>
          <w:rFonts w:ascii="Arial" w:hAnsi="Arial" w:cs="Arial"/>
        </w:rPr>
      </w:pPr>
      <w:r w:rsidRPr="003A72E1">
        <w:rPr>
          <w:rFonts w:ascii="Arial" w:hAnsi="Arial" w:cs="Arial"/>
        </w:rPr>
        <w:t xml:space="preserve">A monthly compensation of INR </w:t>
      </w:r>
      <w:r w:rsidR="00692883">
        <w:rPr>
          <w:rFonts w:ascii="Arial" w:hAnsi="Arial" w:cs="Arial"/>
        </w:rPr>
        <w:t>91,800</w:t>
      </w:r>
      <w:r w:rsidR="00343B8B" w:rsidRPr="003A72E1">
        <w:rPr>
          <w:rFonts w:ascii="Arial" w:hAnsi="Arial" w:cs="Arial"/>
        </w:rPr>
        <w:t xml:space="preserve"> </w:t>
      </w:r>
      <w:r w:rsidRPr="003A72E1">
        <w:rPr>
          <w:rFonts w:ascii="Arial" w:hAnsi="Arial" w:cs="Arial"/>
        </w:rPr>
        <w:t>(Inclusive of all indirect taxes) will be paid to the Consultant. The Consultant will generate an invoice at the end of the month along with log of the work completed. Any revision to the compensation above will be after due mutual discussion and written intimation.</w:t>
      </w:r>
    </w:p>
    <w:p w:rsidR="0079541B" w:rsidRPr="003A72E1" w:rsidRDefault="0079541B" w:rsidP="0079541B">
      <w:pPr>
        <w:jc w:val="both"/>
        <w:rPr>
          <w:rFonts w:ascii="Arial" w:hAnsi="Arial" w:cs="Arial"/>
          <w:b/>
        </w:rPr>
      </w:pPr>
    </w:p>
    <w:p w:rsidR="0079541B" w:rsidRPr="003A72E1" w:rsidRDefault="0079541B" w:rsidP="00EB1A02">
      <w:pPr>
        <w:tabs>
          <w:tab w:val="left" w:pos="3780"/>
        </w:tabs>
        <w:jc w:val="both"/>
        <w:rPr>
          <w:rFonts w:ascii="Arial" w:hAnsi="Arial" w:cs="Arial"/>
        </w:rPr>
      </w:pPr>
      <w:r w:rsidRPr="003A72E1">
        <w:rPr>
          <w:rFonts w:ascii="Arial" w:hAnsi="Arial" w:cs="Arial"/>
          <w:b/>
        </w:rPr>
        <w:t>Term</w:t>
      </w:r>
      <w:r w:rsidR="00EB1A02" w:rsidRPr="003A72E1">
        <w:rPr>
          <w:rFonts w:ascii="Arial" w:hAnsi="Arial" w:cs="Arial"/>
          <w:b/>
        </w:rPr>
        <w:tab/>
      </w:r>
    </w:p>
    <w:p w:rsidR="0079541B" w:rsidRPr="003A72E1" w:rsidRDefault="0079541B" w:rsidP="0079541B">
      <w:pPr>
        <w:jc w:val="both"/>
        <w:rPr>
          <w:rFonts w:ascii="Arial" w:hAnsi="Arial" w:cs="Arial"/>
        </w:rPr>
      </w:pPr>
      <w:r w:rsidRPr="003A72E1">
        <w:rPr>
          <w:rFonts w:ascii="Arial" w:hAnsi="Arial" w:cs="Arial"/>
        </w:rPr>
        <w:t xml:space="preserve">This engagement shall commence upon execution of this Agreement. The Agreement shall continue in full force and is effect from </w:t>
      </w:r>
      <w:r w:rsidR="008D4B9E" w:rsidRPr="003A72E1">
        <w:rPr>
          <w:rFonts w:ascii="Arial" w:hAnsi="Arial" w:cs="Arial"/>
          <w:b/>
        </w:rPr>
        <w:t>August 1</w:t>
      </w:r>
      <w:r w:rsidRPr="003A72E1">
        <w:rPr>
          <w:rFonts w:ascii="Arial" w:hAnsi="Arial" w:cs="Arial"/>
          <w:b/>
        </w:rPr>
        <w:t>, 2021</w:t>
      </w:r>
      <w:r w:rsidRPr="003A72E1">
        <w:rPr>
          <w:rFonts w:ascii="Arial" w:hAnsi="Arial" w:cs="Arial"/>
        </w:rPr>
        <w:t xml:space="preserve"> to </w:t>
      </w:r>
      <w:r w:rsidR="008D4B9E" w:rsidRPr="003A72E1">
        <w:rPr>
          <w:rFonts w:ascii="Arial" w:hAnsi="Arial" w:cs="Arial"/>
          <w:b/>
        </w:rPr>
        <w:t>November</w:t>
      </w:r>
      <w:r w:rsidRPr="003A72E1">
        <w:rPr>
          <w:rFonts w:ascii="Arial" w:hAnsi="Arial" w:cs="Arial"/>
          <w:b/>
        </w:rPr>
        <w:t xml:space="preserve"> 3</w:t>
      </w:r>
      <w:r w:rsidR="008D4B9E" w:rsidRPr="003A72E1">
        <w:rPr>
          <w:rFonts w:ascii="Arial" w:hAnsi="Arial" w:cs="Arial"/>
          <w:b/>
        </w:rPr>
        <w:t>0</w:t>
      </w:r>
      <w:r w:rsidRPr="003A72E1">
        <w:rPr>
          <w:rFonts w:ascii="Arial" w:hAnsi="Arial" w:cs="Arial"/>
          <w:b/>
        </w:rPr>
        <w:t>, 202</w:t>
      </w:r>
      <w:r w:rsidR="008D4B9E" w:rsidRPr="003A72E1">
        <w:rPr>
          <w:rFonts w:ascii="Arial" w:hAnsi="Arial" w:cs="Arial"/>
          <w:b/>
        </w:rPr>
        <w:t>2</w:t>
      </w:r>
      <w:r w:rsidRPr="003A72E1">
        <w:rPr>
          <w:rFonts w:ascii="Arial" w:hAnsi="Arial" w:cs="Arial"/>
          <w:b/>
        </w:rPr>
        <w:t xml:space="preserve"> </w:t>
      </w:r>
      <w:r w:rsidRPr="003A72E1">
        <w:rPr>
          <w:rFonts w:ascii="Arial" w:hAnsi="Arial" w:cs="Arial"/>
        </w:rPr>
        <w:t xml:space="preserve">and is extendable based on the review of Consultant’s performance by the Foundation and mutual concurrence on revised terms of engagement. </w:t>
      </w:r>
    </w:p>
    <w:p w:rsidR="0079541B" w:rsidRPr="003A72E1" w:rsidRDefault="0079541B">
      <w:pPr>
        <w:rPr>
          <w:rFonts w:ascii="Arial" w:hAnsi="Arial" w:cs="Arial"/>
        </w:rPr>
      </w:pPr>
    </w:p>
    <w:sectPr w:rsidR="0079541B" w:rsidRPr="003A72E1" w:rsidSect="00852A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D4627"/>
    <w:multiLevelType w:val="hybridMultilevel"/>
    <w:tmpl w:val="581C7ED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53EA797D"/>
    <w:multiLevelType w:val="hybridMultilevel"/>
    <w:tmpl w:val="E48203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71E7684C"/>
    <w:multiLevelType w:val="multilevel"/>
    <w:tmpl w:val="035E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664002"/>
    <w:multiLevelType w:val="hybridMultilevel"/>
    <w:tmpl w:val="7FE0452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134D5"/>
    <w:rsid w:val="00317F7D"/>
    <w:rsid w:val="00331C73"/>
    <w:rsid w:val="00343B8B"/>
    <w:rsid w:val="003A72E1"/>
    <w:rsid w:val="00415996"/>
    <w:rsid w:val="0048221C"/>
    <w:rsid w:val="005134D5"/>
    <w:rsid w:val="00692883"/>
    <w:rsid w:val="0079541B"/>
    <w:rsid w:val="007F1775"/>
    <w:rsid w:val="00852AD2"/>
    <w:rsid w:val="00862F6B"/>
    <w:rsid w:val="008D4B9E"/>
    <w:rsid w:val="00C0229D"/>
    <w:rsid w:val="00C21AAE"/>
    <w:rsid w:val="00C84B72"/>
    <w:rsid w:val="00E426FA"/>
    <w:rsid w:val="00EB1A02"/>
    <w:rsid w:val="00EE1B5F"/>
    <w:rsid w:val="00EF27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A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4D5"/>
    <w:pPr>
      <w:spacing w:after="160" w:line="259" w:lineRule="auto"/>
      <w:ind w:left="720"/>
      <w:contextualSpacing/>
    </w:pPr>
    <w:rPr>
      <w:rFonts w:eastAsiaTheme="minorHAnsi"/>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16</cp:revision>
  <dcterms:created xsi:type="dcterms:W3CDTF">2021-07-15T07:46:00Z</dcterms:created>
  <dcterms:modified xsi:type="dcterms:W3CDTF">2021-07-29T07:00:00Z</dcterms:modified>
</cp:coreProperties>
</file>