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8F" w:rsidRPr="0045258F" w:rsidRDefault="0045258F" w:rsidP="00A023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lang w:val="en-IN"/>
        </w:rPr>
      </w:pPr>
      <w:bookmarkStart w:id="0" w:name="_Hlk44401607"/>
      <w:r w:rsidRPr="0045258F">
        <w:rPr>
          <w:rFonts w:ascii="Arial" w:eastAsiaTheme="minorHAnsi" w:hAnsi="Arial" w:cs="Arial"/>
          <w:b/>
          <w:lang w:val="en-IN"/>
        </w:rPr>
        <w:t>Scope of Work</w:t>
      </w:r>
    </w:p>
    <w:p w:rsidR="0045258F" w:rsidRDefault="0045258F" w:rsidP="00A023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color w:val="2B4B83"/>
          <w:lang w:val="en-IN"/>
        </w:rPr>
      </w:pPr>
    </w:p>
    <w:p w:rsidR="0045258F" w:rsidRDefault="0045258F" w:rsidP="00A023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color w:val="2B4B83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Mentor-Mentee Program</w:t>
      </w:r>
    </w:p>
    <w:p w:rsidR="0045258F" w:rsidRDefault="0045258F" w:rsidP="00A023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color w:val="2B4B83"/>
          <w:lang w:val="en-IN"/>
        </w:rPr>
      </w:pPr>
    </w:p>
    <w:p w:rsidR="003A3FA2" w:rsidRPr="00495DD0" w:rsidRDefault="00A023A2" w:rsidP="00A02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IN"/>
        </w:rPr>
      </w:pPr>
      <w:r w:rsidRPr="00495DD0">
        <w:rPr>
          <w:rFonts w:ascii="Arial" w:eastAsiaTheme="minorHAnsi" w:hAnsi="Arial" w:cs="Arial"/>
          <w:b/>
          <w:color w:val="2B4B83"/>
          <w:lang w:val="en-IN"/>
        </w:rPr>
        <w:t>To study telemedicine services with respect to quality, standardization, specialty, accessibility, affordability and referral mechanisms</w:t>
      </w:r>
    </w:p>
    <w:p w:rsidR="00D51738" w:rsidRPr="00495DD0" w:rsidRDefault="00D51738" w:rsidP="00A023A2">
      <w:pPr>
        <w:pStyle w:val="Heading1a"/>
        <w:tabs>
          <w:tab w:val="left" w:pos="1920"/>
        </w:tabs>
        <w:jc w:val="left"/>
        <w:rPr>
          <w:rFonts w:ascii="Arial" w:hAnsi="Arial" w:cs="Arial"/>
          <w:b w:val="0"/>
          <w:bCs/>
          <w:color w:val="1F3864" w:themeColor="accent5" w:themeShade="80"/>
          <w:sz w:val="22"/>
          <w:szCs w:val="22"/>
        </w:rPr>
      </w:pPr>
    </w:p>
    <w:p w:rsidR="00984350" w:rsidRPr="00495DD0" w:rsidRDefault="00CE7EC5" w:rsidP="00495DD0">
      <w:pPr>
        <w:pStyle w:val="ListParagraph"/>
        <w:numPr>
          <w:ilvl w:val="0"/>
          <w:numId w:val="37"/>
        </w:numPr>
        <w:rPr>
          <w:rFonts w:ascii="Arial" w:hAnsi="Arial" w:cs="Arial"/>
          <w:color w:val="2E74B5" w:themeColor="accent1" w:themeShade="BF"/>
        </w:rPr>
      </w:pPr>
      <w:r w:rsidRPr="00495DD0">
        <w:rPr>
          <w:rFonts w:ascii="Arial" w:hAnsi="Arial" w:cs="Arial"/>
          <w:color w:val="1F4E79" w:themeColor="accent1" w:themeShade="80"/>
        </w:rPr>
        <w:t>Rationale</w:t>
      </w:r>
    </w:p>
    <w:p w:rsidR="00984350" w:rsidRPr="00495DD0" w:rsidRDefault="00984350" w:rsidP="00984350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</w:rPr>
      </w:pPr>
    </w:p>
    <w:p w:rsidR="0015037C" w:rsidRPr="00495DD0" w:rsidRDefault="00984350" w:rsidP="00AE7BEE">
      <w:pPr>
        <w:ind w:left="567"/>
        <w:jc w:val="both"/>
        <w:rPr>
          <w:rFonts w:ascii="Arial" w:hAnsi="Arial" w:cs="Arial"/>
        </w:rPr>
      </w:pPr>
      <w:bookmarkStart w:id="1" w:name="_Hlk50547571"/>
      <w:bookmarkEnd w:id="0"/>
      <w:r w:rsidRPr="00495DD0">
        <w:rPr>
          <w:rFonts w:ascii="Arial" w:hAnsi="Arial" w:cs="Arial"/>
          <w:lang w:val="en-IN"/>
        </w:rPr>
        <w:t xml:space="preserve">In view of improving the </w:t>
      </w:r>
      <w:r w:rsidR="00A133D8" w:rsidRPr="00495DD0">
        <w:rPr>
          <w:rFonts w:ascii="Arial" w:hAnsi="Arial" w:cs="Arial"/>
          <w:lang w:val="en-IN"/>
        </w:rPr>
        <w:t>health system performance</w:t>
      </w:r>
      <w:r w:rsidRPr="00495DD0">
        <w:rPr>
          <w:rFonts w:ascii="Arial" w:hAnsi="Arial" w:cs="Arial"/>
          <w:lang w:val="en-IN"/>
        </w:rPr>
        <w:t xml:space="preserve"> it is important to</w:t>
      </w:r>
      <w:r w:rsidR="00A133D8" w:rsidRPr="00495DD0">
        <w:rPr>
          <w:rFonts w:ascii="Arial" w:hAnsi="Arial" w:cs="Arial"/>
          <w:lang w:val="en-IN"/>
        </w:rPr>
        <w:t xml:space="preserve"> assess the new advances in healthcare service delivery such as telemedicine from perspective of WHO model of health system strengthening (HSS). It is essential to </w:t>
      </w:r>
      <w:r w:rsidR="0015037C" w:rsidRPr="00495DD0">
        <w:rPr>
          <w:rFonts w:ascii="Arial" w:hAnsi="Arial" w:cs="Arial"/>
          <w:lang w:val="en-IN"/>
        </w:rPr>
        <w:t>understand dimensions of affordability, accessibility,</w:t>
      </w:r>
      <w:r w:rsidR="00A133D8" w:rsidRPr="00495DD0">
        <w:rPr>
          <w:rFonts w:ascii="Arial" w:hAnsi="Arial" w:cs="Arial"/>
          <w:lang w:val="en-IN"/>
        </w:rPr>
        <w:t xml:space="preserve"> quality standards</w:t>
      </w:r>
      <w:r w:rsidR="0015037C" w:rsidRPr="00495DD0">
        <w:rPr>
          <w:rFonts w:ascii="Arial" w:hAnsi="Arial" w:cs="Arial"/>
          <w:lang w:val="en-IN"/>
        </w:rPr>
        <w:t xml:space="preserve">, and continuum of care (referral) </w:t>
      </w:r>
      <w:r w:rsidRPr="00495DD0">
        <w:rPr>
          <w:rFonts w:ascii="Arial" w:hAnsi="Arial" w:cs="Arial"/>
        </w:rPr>
        <w:t xml:space="preserve">so as to </w:t>
      </w:r>
      <w:r w:rsidR="0015037C" w:rsidRPr="00495DD0">
        <w:rPr>
          <w:rFonts w:ascii="Arial" w:hAnsi="Arial" w:cs="Arial"/>
        </w:rPr>
        <w:t xml:space="preserve">achieve better health outcomes through telemedicine. </w:t>
      </w:r>
      <w:r w:rsidR="00760C4B" w:rsidRPr="00495DD0">
        <w:rPr>
          <w:rFonts w:ascii="Arial" w:hAnsi="Arial" w:cs="Arial"/>
        </w:rPr>
        <w:t xml:space="preserve">This concept notealso </w:t>
      </w:r>
      <w:r w:rsidR="00B06400" w:rsidRPr="00495DD0">
        <w:rPr>
          <w:rFonts w:ascii="Arial" w:hAnsi="Arial" w:cs="Arial"/>
        </w:rPr>
        <w:t>propose</w:t>
      </w:r>
      <w:r w:rsidR="00760C4B" w:rsidRPr="00495DD0">
        <w:rPr>
          <w:rFonts w:ascii="Arial" w:hAnsi="Arial" w:cs="Arial"/>
        </w:rPr>
        <w:t>s</w:t>
      </w:r>
      <w:r w:rsidR="00B06400" w:rsidRPr="00495DD0">
        <w:rPr>
          <w:rFonts w:ascii="Arial" w:hAnsi="Arial" w:cs="Arial"/>
        </w:rPr>
        <w:t xml:space="preserve"> aspect of acceptability in addition to other mentioned dimensions. </w:t>
      </w:r>
    </w:p>
    <w:p w:rsidR="0015037C" w:rsidRPr="00495DD0" w:rsidRDefault="00984350" w:rsidP="00AE7BEE">
      <w:pPr>
        <w:ind w:left="567"/>
        <w:jc w:val="both"/>
        <w:rPr>
          <w:rFonts w:ascii="Arial" w:hAnsi="Arial" w:cs="Arial"/>
        </w:rPr>
      </w:pPr>
      <w:bookmarkStart w:id="2" w:name="_Hlk50547447"/>
      <w:bookmarkEnd w:id="1"/>
      <w:r w:rsidRPr="00495DD0">
        <w:rPr>
          <w:rFonts w:ascii="Arial" w:hAnsi="Arial" w:cs="Arial"/>
        </w:rPr>
        <w:t xml:space="preserve">The </w:t>
      </w:r>
      <w:r w:rsidR="0015037C" w:rsidRPr="00495DD0">
        <w:rPr>
          <w:rFonts w:ascii="Arial" w:hAnsi="Arial" w:cs="Arial"/>
        </w:rPr>
        <w:t>research</w:t>
      </w:r>
      <w:r w:rsidRPr="00495DD0">
        <w:rPr>
          <w:rFonts w:ascii="Arial" w:hAnsi="Arial" w:cs="Arial"/>
        </w:rPr>
        <w:t xml:space="preserve"> will be undertaken </w:t>
      </w:r>
      <w:r w:rsidR="0015037C" w:rsidRPr="00495DD0">
        <w:rPr>
          <w:rFonts w:ascii="Arial" w:hAnsi="Arial" w:cs="Arial"/>
        </w:rPr>
        <w:t>using tele-consultation data to assess quality of care through:</w:t>
      </w:r>
    </w:p>
    <w:p w:rsidR="0015037C" w:rsidRPr="00495DD0" w:rsidRDefault="0015037C" w:rsidP="00AE7BEE">
      <w:pPr>
        <w:pStyle w:val="ListParagraph"/>
        <w:numPr>
          <w:ilvl w:val="0"/>
          <w:numId w:val="26"/>
        </w:numPr>
        <w:ind w:left="1287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drug-prescribing patterns </w:t>
      </w:r>
    </w:p>
    <w:p w:rsidR="0015037C" w:rsidRPr="00495DD0" w:rsidRDefault="00984350" w:rsidP="00AE7BEE">
      <w:pPr>
        <w:pStyle w:val="ListParagraph"/>
        <w:numPr>
          <w:ilvl w:val="0"/>
          <w:numId w:val="26"/>
        </w:numPr>
        <w:ind w:left="1287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treatment appropriateness </w:t>
      </w:r>
    </w:p>
    <w:p w:rsidR="00984350" w:rsidRPr="00495DD0" w:rsidRDefault="00984350" w:rsidP="00AE7BEE">
      <w:pPr>
        <w:ind w:left="567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along with quantifying beneficiaries’ perspective on </w:t>
      </w:r>
      <w:r w:rsidR="0015037C" w:rsidRPr="00495DD0">
        <w:rPr>
          <w:rFonts w:ascii="Arial" w:hAnsi="Arial" w:cs="Arial"/>
        </w:rPr>
        <w:t xml:space="preserve">affordability, accessibility and experience with telemedicine </w:t>
      </w:r>
      <w:r w:rsidRPr="00495DD0">
        <w:rPr>
          <w:rFonts w:ascii="Arial" w:hAnsi="Arial" w:cs="Arial"/>
        </w:rPr>
        <w:t xml:space="preserve">services. </w:t>
      </w:r>
      <w:r w:rsidR="0015037C" w:rsidRPr="00495DD0">
        <w:rPr>
          <w:rFonts w:ascii="Arial" w:hAnsi="Arial" w:cs="Arial"/>
        </w:rPr>
        <w:t>The concept propose</w:t>
      </w:r>
      <w:r w:rsidRPr="00495DD0">
        <w:rPr>
          <w:rFonts w:ascii="Arial" w:hAnsi="Arial" w:cs="Arial"/>
        </w:rPr>
        <w:t xml:space="preserve"> to compare the potential benefits &amp; identify gaps of e-prescribing systems with manual prescriptions. It is expected that this information will be useful in assessing the impact of various interventions and adopted models of </w:t>
      </w:r>
      <w:r w:rsidR="0015037C" w:rsidRPr="00495DD0">
        <w:rPr>
          <w:rFonts w:ascii="Arial" w:hAnsi="Arial" w:cs="Arial"/>
        </w:rPr>
        <w:t>health service delivery</w:t>
      </w:r>
      <w:r w:rsidRPr="00495DD0">
        <w:rPr>
          <w:rFonts w:ascii="Arial" w:hAnsi="Arial" w:cs="Arial"/>
        </w:rPr>
        <w:t xml:space="preserve"> which can be further helpful in planning and mid-course correction.</w:t>
      </w:r>
    </w:p>
    <w:bookmarkEnd w:id="2"/>
    <w:p w:rsidR="00984350" w:rsidRPr="00495DD0" w:rsidRDefault="00984350" w:rsidP="00984350">
      <w:pPr>
        <w:jc w:val="both"/>
        <w:rPr>
          <w:rFonts w:ascii="Arial" w:hAnsi="Arial" w:cs="Arial"/>
          <w:color w:val="1F4E79" w:themeColor="accent1" w:themeShade="80"/>
        </w:rPr>
      </w:pPr>
    </w:p>
    <w:p w:rsidR="00984350" w:rsidRPr="00495DD0" w:rsidRDefault="0008629B" w:rsidP="00495DD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bookmarkStart w:id="3" w:name="_Hlk44401621"/>
      <w:r w:rsidRPr="00495DD0">
        <w:rPr>
          <w:rFonts w:ascii="Arial" w:hAnsi="Arial" w:cs="Arial"/>
          <w:color w:val="1F4E79" w:themeColor="accent1" w:themeShade="80"/>
        </w:rPr>
        <w:t>Goals and Objectives</w:t>
      </w:r>
      <w:bookmarkEnd w:id="3"/>
    </w:p>
    <w:p w:rsidR="00760C4B" w:rsidRPr="00495DD0" w:rsidRDefault="00760C4B" w:rsidP="00760C4B">
      <w:pPr>
        <w:spacing w:after="0" w:line="240" w:lineRule="auto"/>
        <w:ind w:left="567"/>
        <w:jc w:val="both"/>
        <w:rPr>
          <w:rFonts w:ascii="Arial" w:hAnsi="Arial" w:cs="Arial"/>
          <w:b/>
          <w:color w:val="1F4E79" w:themeColor="accent1" w:themeShade="80"/>
        </w:rPr>
      </w:pPr>
    </w:p>
    <w:p w:rsidR="00760C4B" w:rsidRPr="00495DD0" w:rsidRDefault="00760C4B" w:rsidP="00760C4B">
      <w:pPr>
        <w:spacing w:after="0"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495DD0">
        <w:rPr>
          <w:rFonts w:ascii="Arial" w:hAnsi="Arial" w:cs="Arial"/>
          <w:color w:val="000000" w:themeColor="text1"/>
        </w:rPr>
        <w:t xml:space="preserve">The overall goal of the study is to take ‘stock of the </w:t>
      </w:r>
      <w:r w:rsidR="009F1049" w:rsidRPr="00495DD0">
        <w:rPr>
          <w:rFonts w:ascii="Arial" w:hAnsi="Arial" w:cs="Arial"/>
          <w:color w:val="000000" w:themeColor="text1"/>
        </w:rPr>
        <w:t xml:space="preserve">situation’ of telemedicine service delivery </w:t>
      </w:r>
      <w:r w:rsidR="00C922CA" w:rsidRPr="00495DD0">
        <w:rPr>
          <w:rFonts w:ascii="Arial" w:hAnsi="Arial" w:cs="Arial"/>
          <w:color w:val="000000" w:themeColor="text1"/>
        </w:rPr>
        <w:t xml:space="preserve">with respect to </w:t>
      </w:r>
      <w:r w:rsidR="006D670C" w:rsidRPr="00495DD0">
        <w:rPr>
          <w:rFonts w:ascii="Arial" w:hAnsi="Arial" w:cs="Arial"/>
          <w:color w:val="000000" w:themeColor="text1"/>
        </w:rPr>
        <w:t xml:space="preserve">clinical care and </w:t>
      </w:r>
      <w:r w:rsidR="009F1049" w:rsidRPr="00495DD0">
        <w:rPr>
          <w:rFonts w:ascii="Arial" w:hAnsi="Arial" w:cs="Arial"/>
          <w:color w:val="000000" w:themeColor="text1"/>
        </w:rPr>
        <w:t>AAA</w:t>
      </w:r>
      <w:r w:rsidR="006D670C" w:rsidRPr="00495DD0">
        <w:rPr>
          <w:rFonts w:ascii="Arial" w:hAnsi="Arial" w:cs="Arial"/>
          <w:color w:val="000000" w:themeColor="text1"/>
        </w:rPr>
        <w:t>(</w:t>
      </w:r>
      <w:r w:rsidR="006D670C" w:rsidRPr="00495DD0">
        <w:rPr>
          <w:rFonts w:ascii="Arial" w:hAnsi="Arial" w:cs="Arial"/>
          <w:color w:val="202124"/>
          <w:shd w:val="clear" w:color="auto" w:fill="FFFFFF"/>
        </w:rPr>
        <w:t>affordability, accessibility,</w:t>
      </w:r>
      <w:r w:rsidR="006D670C" w:rsidRPr="00495DD0">
        <w:rPr>
          <w:rFonts w:ascii="Arial" w:hAnsi="Arial" w:cs="Arial"/>
          <w:color w:val="000000" w:themeColor="text1"/>
        </w:rPr>
        <w:t xml:space="preserve">and acceptability) </w:t>
      </w:r>
      <w:r w:rsidR="009F1049" w:rsidRPr="00495DD0">
        <w:rPr>
          <w:rFonts w:ascii="Arial" w:hAnsi="Arial" w:cs="Arial"/>
          <w:color w:val="000000" w:themeColor="text1"/>
        </w:rPr>
        <w:t xml:space="preserve">of ‘access to care’. The study will be comparative study of prescribing practices and patient experiences of manual verses e-healthcare. The study will set a stage for larger telemedicine survey geared towards standardization and quality of service delivery. </w:t>
      </w:r>
    </w:p>
    <w:p w:rsidR="00C922CA" w:rsidRPr="00495DD0" w:rsidRDefault="00C922CA" w:rsidP="00760C4B">
      <w:pPr>
        <w:spacing w:after="0"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:rsidR="00C922CA" w:rsidRPr="00495DD0" w:rsidRDefault="00C922CA" w:rsidP="00760C4B">
      <w:pPr>
        <w:spacing w:after="0" w:line="240" w:lineRule="auto"/>
        <w:ind w:left="567"/>
        <w:jc w:val="both"/>
        <w:rPr>
          <w:rFonts w:ascii="Arial" w:hAnsi="Arial" w:cs="Arial"/>
          <w:color w:val="1F4E79" w:themeColor="accent1" w:themeShade="80"/>
        </w:rPr>
      </w:pPr>
      <w:r w:rsidRPr="00495DD0">
        <w:rPr>
          <w:rFonts w:ascii="Arial" w:hAnsi="Arial" w:cs="Arial"/>
          <w:color w:val="000000" w:themeColor="text1"/>
        </w:rPr>
        <w:t xml:space="preserve">Following are objectives and specific objectives. </w:t>
      </w:r>
    </w:p>
    <w:p w:rsidR="00984350" w:rsidRPr="00495DD0" w:rsidRDefault="00984350" w:rsidP="00984350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</w:rPr>
      </w:pPr>
    </w:p>
    <w:p w:rsidR="00984350" w:rsidRPr="00495DD0" w:rsidRDefault="00984350" w:rsidP="00AE7BEE">
      <w:pPr>
        <w:pStyle w:val="ListParagraph"/>
        <w:numPr>
          <w:ilvl w:val="1"/>
          <w:numId w:val="29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  <w:bCs/>
        </w:rPr>
        <w:t>To do classification of Prescription as per treatment appropriateness</w:t>
      </w:r>
    </w:p>
    <w:p w:rsidR="00984350" w:rsidRPr="00495DD0" w:rsidRDefault="00984350" w:rsidP="00295FD4">
      <w:pPr>
        <w:pStyle w:val="ListParagraph"/>
        <w:spacing w:before="100" w:after="0" w:line="240" w:lineRule="auto"/>
        <w:ind w:left="1276" w:hanging="709"/>
        <w:jc w:val="both"/>
        <w:rPr>
          <w:rFonts w:ascii="Arial" w:hAnsi="Arial" w:cs="Arial"/>
        </w:rPr>
      </w:pPr>
    </w:p>
    <w:p w:rsidR="00984350" w:rsidRPr="00495DD0" w:rsidRDefault="00984350" w:rsidP="004020FD">
      <w:pPr>
        <w:pStyle w:val="ListParagraph"/>
        <w:numPr>
          <w:ilvl w:val="0"/>
          <w:numId w:val="32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The prescriptions will be classified under four heads i.e. Appropriate, not appropriate, undetermined &amp; inadequate information. The parameters for the basis of this classification would be decided &amp; finalized by a panel of experts/ doctors as per available protocolized treatment such as standard treatment guidelines (STG), rationality &amp; pattern in advising diagnostics as per available treatment protocols &amp; guidelines etc.</w:t>
      </w:r>
    </w:p>
    <w:p w:rsidR="00984350" w:rsidRPr="00495DD0" w:rsidRDefault="00984350" w:rsidP="004020FD">
      <w:pPr>
        <w:pStyle w:val="ListParagraph"/>
        <w:numPr>
          <w:ilvl w:val="0"/>
          <w:numId w:val="32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Appropriate: The prescriptions are classified as appropriate based on the available treatment protocols and guidelines such as WHO standard of prescribing practices, among others. </w:t>
      </w:r>
    </w:p>
    <w:p w:rsidR="00984350" w:rsidRPr="00495DD0" w:rsidRDefault="00984350" w:rsidP="004020FD">
      <w:pPr>
        <w:pStyle w:val="ListParagraph"/>
        <w:numPr>
          <w:ilvl w:val="0"/>
          <w:numId w:val="32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Not appropriate: Prescriptions which have substantial deviations from the standard guideline will be classified into this category. </w:t>
      </w:r>
    </w:p>
    <w:p w:rsidR="00984350" w:rsidRPr="00495DD0" w:rsidRDefault="00984350" w:rsidP="004020FD">
      <w:pPr>
        <w:pStyle w:val="ListParagraph"/>
        <w:numPr>
          <w:ilvl w:val="0"/>
          <w:numId w:val="32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lastRenderedPageBreak/>
        <w:t xml:space="preserve">Indeterminate: Prescription that could not be classified as adequate or inadequate due to absence of clear guidelines </w:t>
      </w:r>
    </w:p>
    <w:p w:rsidR="00984350" w:rsidRPr="00495DD0" w:rsidRDefault="00984350" w:rsidP="004020FD">
      <w:pPr>
        <w:pStyle w:val="ListParagraph"/>
        <w:numPr>
          <w:ilvl w:val="0"/>
          <w:numId w:val="32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Inadequate information: The prescriptions which cannot be classified due to incompleteness of prescribing items. </w:t>
      </w:r>
    </w:p>
    <w:p w:rsidR="00984350" w:rsidRPr="00495DD0" w:rsidRDefault="00984350" w:rsidP="00295FD4">
      <w:pPr>
        <w:pStyle w:val="ListParagraph"/>
        <w:spacing w:before="100" w:after="0" w:line="240" w:lineRule="auto"/>
        <w:ind w:left="1276" w:hanging="709"/>
        <w:jc w:val="both"/>
        <w:rPr>
          <w:rFonts w:ascii="Arial" w:hAnsi="Arial" w:cs="Arial"/>
        </w:rPr>
      </w:pPr>
    </w:p>
    <w:p w:rsidR="00984350" w:rsidRPr="00495DD0" w:rsidRDefault="00984350" w:rsidP="00AE7BEE">
      <w:pPr>
        <w:pStyle w:val="ListParagraph"/>
        <w:numPr>
          <w:ilvl w:val="1"/>
          <w:numId w:val="29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  <w:bCs/>
        </w:rPr>
        <w:t>To assess completeness of prescription</w:t>
      </w:r>
    </w:p>
    <w:p w:rsidR="00984350" w:rsidRPr="00495DD0" w:rsidRDefault="00984350" w:rsidP="00295FD4">
      <w:pPr>
        <w:pStyle w:val="ListParagraph"/>
        <w:spacing w:before="100" w:after="0" w:line="240" w:lineRule="auto"/>
        <w:ind w:left="1276" w:hanging="709"/>
        <w:jc w:val="both"/>
        <w:rPr>
          <w:rFonts w:ascii="Arial" w:hAnsi="Arial" w:cs="Arial"/>
        </w:rPr>
      </w:pPr>
    </w:p>
    <w:p w:rsidR="00984350" w:rsidRPr="00495DD0" w:rsidRDefault="00984350" w:rsidP="004020FD">
      <w:pPr>
        <w:pStyle w:val="ListParagraph"/>
        <w:numPr>
          <w:ilvl w:val="0"/>
          <w:numId w:val="31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To assess prescription patterns, adequacy/completeness in AV consultations as per MCI &amp; telemedicine guidelines</w:t>
      </w:r>
    </w:p>
    <w:p w:rsidR="00984350" w:rsidRPr="00495DD0" w:rsidRDefault="00984350" w:rsidP="00AE7BEE">
      <w:pPr>
        <w:pStyle w:val="ListParagraph"/>
        <w:spacing w:before="100" w:after="0" w:line="240" w:lineRule="auto"/>
        <w:ind w:left="993"/>
        <w:jc w:val="both"/>
        <w:rPr>
          <w:rFonts w:ascii="Arial" w:hAnsi="Arial" w:cs="Arial"/>
        </w:rPr>
      </w:pPr>
    </w:p>
    <w:p w:rsidR="00984350" w:rsidRPr="00495DD0" w:rsidRDefault="00984350" w:rsidP="004020FD">
      <w:pPr>
        <w:pStyle w:val="ListParagraph"/>
        <w:numPr>
          <w:ilvl w:val="0"/>
          <w:numId w:val="31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To analyze the prescription of drugs for data completeness </w:t>
      </w:r>
    </w:p>
    <w:p w:rsidR="00984350" w:rsidRPr="00495DD0" w:rsidRDefault="00984350" w:rsidP="004020FD">
      <w:pPr>
        <w:pStyle w:val="ListParagraph"/>
        <w:numPr>
          <w:ilvl w:val="0"/>
          <w:numId w:val="31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To analyze the prescription of drugs for data accuracy</w:t>
      </w:r>
    </w:p>
    <w:p w:rsidR="00984350" w:rsidRPr="00495DD0" w:rsidRDefault="00984350" w:rsidP="004020FD">
      <w:pPr>
        <w:pStyle w:val="ListParagraph"/>
        <w:numPr>
          <w:ilvl w:val="0"/>
          <w:numId w:val="31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To analyze and generate information on core prescribing indicators by WHO </w:t>
      </w:r>
    </w:p>
    <w:p w:rsidR="00984350" w:rsidRPr="00495DD0" w:rsidRDefault="00984350" w:rsidP="004020FD">
      <w:pPr>
        <w:pStyle w:val="ListParagraph"/>
        <w:numPr>
          <w:ilvl w:val="0"/>
          <w:numId w:val="31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To understand and classify the advice as health education or counselling or prescribing of medicines</w:t>
      </w:r>
    </w:p>
    <w:p w:rsidR="00984350" w:rsidRPr="00495DD0" w:rsidRDefault="00984350" w:rsidP="004020FD">
      <w:pPr>
        <w:pStyle w:val="ListParagraph"/>
        <w:numPr>
          <w:ilvl w:val="0"/>
          <w:numId w:val="31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To understand the morbidity pattern currently being handled through AV consultations as per Ayushman Bharat Health &amp; Wellness Centre guideline for provision of 12 services (assess the impact of AV consultation as intervention)</w:t>
      </w:r>
    </w:p>
    <w:p w:rsidR="00984350" w:rsidRPr="00495DD0" w:rsidRDefault="00984350" w:rsidP="00295FD4">
      <w:pPr>
        <w:pStyle w:val="ListParagraph"/>
        <w:spacing w:before="100" w:after="0" w:line="240" w:lineRule="auto"/>
        <w:ind w:left="567"/>
        <w:jc w:val="both"/>
        <w:rPr>
          <w:rFonts w:ascii="Arial" w:hAnsi="Arial" w:cs="Arial"/>
        </w:rPr>
      </w:pPr>
    </w:p>
    <w:p w:rsidR="00984350" w:rsidRPr="00495DD0" w:rsidRDefault="00984350" w:rsidP="00AE7BEE">
      <w:pPr>
        <w:pStyle w:val="ListParagraph"/>
        <w:numPr>
          <w:ilvl w:val="1"/>
          <w:numId w:val="29"/>
        </w:numPr>
        <w:spacing w:before="100" w:after="0" w:line="240" w:lineRule="auto"/>
        <w:jc w:val="both"/>
        <w:rPr>
          <w:rFonts w:ascii="Arial" w:hAnsi="Arial" w:cs="Arial"/>
          <w:bCs/>
        </w:rPr>
      </w:pPr>
      <w:r w:rsidRPr="00495DD0">
        <w:rPr>
          <w:rFonts w:ascii="Arial" w:hAnsi="Arial" w:cs="Arial"/>
        </w:rPr>
        <w:t xml:space="preserve">To assess &amp; understand the benefits of </w:t>
      </w:r>
      <w:r w:rsidRPr="00495DD0">
        <w:rPr>
          <w:rFonts w:ascii="Arial" w:hAnsi="Arial" w:cs="Arial"/>
          <w:bCs/>
        </w:rPr>
        <w:t>e-prescription in comparison to manual prescription.</w:t>
      </w:r>
    </w:p>
    <w:p w:rsidR="00984350" w:rsidRPr="00495DD0" w:rsidRDefault="00984350" w:rsidP="004020FD">
      <w:pPr>
        <w:pStyle w:val="ListParagraph"/>
        <w:numPr>
          <w:ilvl w:val="0"/>
          <w:numId w:val="30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Compare a sample of manual prescriptions with e-prescriptions </w:t>
      </w:r>
      <w:r w:rsidR="00C922CA" w:rsidRPr="00495DD0">
        <w:rPr>
          <w:rFonts w:ascii="Arial" w:hAnsi="Arial" w:cs="Arial"/>
        </w:rPr>
        <w:t>and identify gaps</w:t>
      </w:r>
    </w:p>
    <w:p w:rsidR="00984350" w:rsidRPr="00495DD0" w:rsidRDefault="00984350" w:rsidP="00295FD4">
      <w:pPr>
        <w:pStyle w:val="ListParagraph"/>
        <w:spacing w:before="100" w:after="0" w:line="240" w:lineRule="auto"/>
        <w:ind w:left="1276" w:hanging="709"/>
        <w:jc w:val="both"/>
        <w:rPr>
          <w:rFonts w:ascii="Arial" w:hAnsi="Arial" w:cs="Arial"/>
        </w:rPr>
      </w:pPr>
    </w:p>
    <w:p w:rsidR="00984350" w:rsidRPr="00495DD0" w:rsidRDefault="00984350" w:rsidP="00AE7BEE">
      <w:pPr>
        <w:pStyle w:val="ListParagraph"/>
        <w:numPr>
          <w:ilvl w:val="1"/>
          <w:numId w:val="29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To assess the </w:t>
      </w:r>
      <w:r w:rsidRPr="00495DD0">
        <w:rPr>
          <w:rFonts w:ascii="Arial" w:hAnsi="Arial" w:cs="Arial"/>
          <w:bCs/>
        </w:rPr>
        <w:t>beneficiary’s perspective on ‘AAA’ outcomes</w:t>
      </w:r>
      <w:r w:rsidRPr="00495DD0">
        <w:rPr>
          <w:rFonts w:ascii="Arial" w:hAnsi="Arial" w:cs="Arial"/>
        </w:rPr>
        <w:t xml:space="preserve"> (Acceptability, Accessibility &amp; Affordability) across facilities</w:t>
      </w:r>
    </w:p>
    <w:p w:rsidR="00984350" w:rsidRPr="00495DD0" w:rsidRDefault="00984350" w:rsidP="004020FD">
      <w:pPr>
        <w:pStyle w:val="ListParagraph"/>
        <w:numPr>
          <w:ilvl w:val="0"/>
          <w:numId w:val="30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Identifying accessibility, acceptability, affordability factors of care related to service delivery mechanism.</w:t>
      </w:r>
    </w:p>
    <w:p w:rsidR="00984350" w:rsidRPr="00495DD0" w:rsidRDefault="00984350" w:rsidP="004020FD">
      <w:pPr>
        <w:pStyle w:val="ListParagraph"/>
        <w:numPr>
          <w:ilvl w:val="0"/>
          <w:numId w:val="30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Exploring organizational or programmatic areas of improvement for course correction, notably within the context of quality healthcare service delivery systems and processes.</w:t>
      </w:r>
    </w:p>
    <w:p w:rsidR="00984350" w:rsidRPr="00495DD0" w:rsidRDefault="00984350" w:rsidP="004020FD">
      <w:pPr>
        <w:pStyle w:val="ListParagraph"/>
        <w:numPr>
          <w:ilvl w:val="0"/>
          <w:numId w:val="30"/>
        </w:numPr>
        <w:spacing w:before="100" w:after="0" w:line="240" w:lineRule="auto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Quantifying aspirations and perspectives of beneficiaries/patients</w:t>
      </w:r>
    </w:p>
    <w:p w:rsidR="00984350" w:rsidRPr="00495DD0" w:rsidRDefault="00984350" w:rsidP="00295FD4">
      <w:pPr>
        <w:pStyle w:val="ListParagraph"/>
        <w:spacing w:before="100" w:after="0" w:line="240" w:lineRule="auto"/>
        <w:ind w:left="1276" w:hanging="709"/>
        <w:jc w:val="both"/>
        <w:rPr>
          <w:rFonts w:ascii="Arial" w:hAnsi="Arial" w:cs="Arial"/>
        </w:rPr>
      </w:pPr>
    </w:p>
    <w:p w:rsidR="00984350" w:rsidRPr="00495DD0" w:rsidRDefault="00984350" w:rsidP="00AD688C">
      <w:pPr>
        <w:pStyle w:val="ListParagraph"/>
        <w:spacing w:after="0" w:line="240" w:lineRule="auto"/>
        <w:ind w:left="993" w:hanging="426"/>
        <w:jc w:val="both"/>
        <w:rPr>
          <w:rFonts w:ascii="Arial" w:hAnsi="Arial" w:cs="Arial"/>
          <w:b/>
          <w:bCs/>
          <w:color w:val="1F4E79" w:themeColor="accent1" w:themeShade="80"/>
        </w:rPr>
      </w:pPr>
      <w:bookmarkStart w:id="4" w:name="_Hlk44401636"/>
    </w:p>
    <w:p w:rsidR="00984350" w:rsidRPr="00495DD0" w:rsidRDefault="00984350" w:rsidP="00915CD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Cs/>
        </w:rPr>
      </w:pPr>
      <w:bookmarkStart w:id="5" w:name="_Hlk44401651"/>
      <w:bookmarkEnd w:id="4"/>
      <w:r w:rsidRPr="00495DD0">
        <w:rPr>
          <w:rFonts w:ascii="Arial" w:hAnsi="Arial" w:cs="Arial"/>
          <w:bCs/>
          <w:color w:val="1F4E79" w:themeColor="accent1" w:themeShade="80"/>
        </w:rPr>
        <w:t>METHODOLOGY</w:t>
      </w:r>
    </w:p>
    <w:p w:rsidR="004C394F" w:rsidRPr="00495DD0" w:rsidRDefault="004C394F" w:rsidP="00984350">
      <w:pPr>
        <w:jc w:val="both"/>
        <w:rPr>
          <w:rFonts w:ascii="Arial" w:hAnsi="Arial" w:cs="Arial"/>
        </w:rPr>
      </w:pPr>
    </w:p>
    <w:p w:rsidR="00C779E8" w:rsidRPr="00495DD0" w:rsidRDefault="00C779E8" w:rsidP="00915CD2">
      <w:pPr>
        <w:pStyle w:val="ListParagraph"/>
        <w:numPr>
          <w:ilvl w:val="1"/>
          <w:numId w:val="34"/>
        </w:numPr>
        <w:jc w:val="both"/>
        <w:rPr>
          <w:rFonts w:ascii="Arial" w:hAnsi="Arial" w:cs="Arial"/>
          <w:color w:val="1F4E79" w:themeColor="accent1" w:themeShade="80"/>
        </w:rPr>
      </w:pPr>
      <w:r w:rsidRPr="00495DD0">
        <w:rPr>
          <w:rFonts w:ascii="Arial" w:hAnsi="Arial" w:cs="Arial"/>
          <w:color w:val="1F4E79" w:themeColor="accent1" w:themeShade="80"/>
        </w:rPr>
        <w:t xml:space="preserve">Prescription Audit </w:t>
      </w:r>
    </w:p>
    <w:p w:rsidR="008D6374" w:rsidRPr="00495DD0" w:rsidRDefault="008D6374" w:rsidP="008D6374">
      <w:pPr>
        <w:ind w:left="1080"/>
        <w:jc w:val="both"/>
        <w:rPr>
          <w:rFonts w:ascii="Arial" w:hAnsi="Arial" w:cs="Arial"/>
          <w:b/>
        </w:rPr>
      </w:pPr>
      <w:r w:rsidRPr="00495DD0">
        <w:rPr>
          <w:rFonts w:ascii="Arial" w:hAnsi="Arial" w:cs="Arial"/>
          <w:b/>
          <w:color w:val="1F4E79" w:themeColor="accent1" w:themeShade="80"/>
        </w:rPr>
        <w:t xml:space="preserve">Sampling </w:t>
      </w:r>
    </w:p>
    <w:p w:rsidR="008D6374" w:rsidRPr="00495DD0" w:rsidRDefault="008D6374" w:rsidP="008D6374">
      <w:pPr>
        <w:ind w:left="1080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We will be selecting 50 sample prescriptions, 25 MMU (mobile medical unit) and 25 HWC (health and wellness center) wherein each of the facilities sample size is divided with 60:40 ratio for general and specialist teleconsultation. So, general e-prescription and specialist e-prescription will be selected randomly for the study. </w:t>
      </w:r>
    </w:p>
    <w:p w:rsidR="008D6374" w:rsidRDefault="008D6374" w:rsidP="00495DD0">
      <w:pPr>
        <w:ind w:left="1080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In addition to above we also propose to assess &amp; understand the benefits and also identify the gaps of e-prescription in comparison to manual prescriptions. Since only general consultations happen at the HWC level, similar sample of 25 manual prescriptions will be randomly selected from the health facility &amp; same time period.</w:t>
      </w:r>
    </w:p>
    <w:p w:rsidR="00495DD0" w:rsidRDefault="00495DD0" w:rsidP="00495DD0">
      <w:pPr>
        <w:ind w:left="1080"/>
        <w:jc w:val="both"/>
        <w:rPr>
          <w:rFonts w:ascii="Arial" w:hAnsi="Arial" w:cs="Arial"/>
        </w:rPr>
      </w:pPr>
    </w:p>
    <w:p w:rsidR="00495DD0" w:rsidRPr="00495DD0" w:rsidRDefault="00495DD0" w:rsidP="00495DD0">
      <w:pPr>
        <w:ind w:left="1080"/>
        <w:jc w:val="both"/>
        <w:rPr>
          <w:rFonts w:ascii="Arial" w:hAnsi="Arial" w:cs="Arial"/>
        </w:rPr>
      </w:pPr>
    </w:p>
    <w:p w:rsidR="00F4033A" w:rsidRPr="00495DD0" w:rsidRDefault="00A93FE6" w:rsidP="0045258F">
      <w:p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Table:</w:t>
      </w:r>
      <w:r w:rsidR="00495DD0">
        <w:rPr>
          <w:rFonts w:ascii="Arial" w:hAnsi="Arial" w:cs="Arial"/>
        </w:rPr>
        <w:t xml:space="preserve"> </w:t>
      </w:r>
      <w:r w:rsidRPr="00495DD0">
        <w:rPr>
          <w:rFonts w:ascii="Arial" w:hAnsi="Arial" w:cs="Arial"/>
        </w:rPr>
        <w:t xml:space="preserve">Prescription </w:t>
      </w:r>
      <w:r w:rsidR="00F4033A" w:rsidRPr="00495DD0">
        <w:rPr>
          <w:rFonts w:ascii="Arial" w:hAnsi="Arial" w:cs="Arial"/>
        </w:rPr>
        <w:t xml:space="preserve">Study sample </w:t>
      </w:r>
    </w:p>
    <w:tbl>
      <w:tblPr>
        <w:tblStyle w:val="GridTable1Light"/>
        <w:tblW w:w="8669" w:type="dxa"/>
        <w:tblInd w:w="985" w:type="dxa"/>
        <w:tblLook w:val="04A0"/>
      </w:tblPr>
      <w:tblGrid>
        <w:gridCol w:w="1630"/>
        <w:gridCol w:w="1489"/>
        <w:gridCol w:w="1546"/>
        <w:gridCol w:w="1682"/>
        <w:gridCol w:w="1546"/>
        <w:gridCol w:w="776"/>
      </w:tblGrid>
      <w:tr w:rsidR="00A93FE6" w:rsidRPr="00495DD0" w:rsidTr="007769E6">
        <w:trPr>
          <w:cnfStyle w:val="100000000000"/>
          <w:trHeight w:val="552"/>
        </w:trPr>
        <w:tc>
          <w:tcPr>
            <w:cnfStyle w:val="001000000000"/>
            <w:tcW w:w="1630" w:type="dxa"/>
            <w:shd w:val="clear" w:color="auto" w:fill="BFBFBF" w:themeFill="background1" w:themeFillShade="BF"/>
          </w:tcPr>
          <w:p w:rsidR="00A93FE6" w:rsidRPr="00495DD0" w:rsidRDefault="00A93FE6" w:rsidP="00695164">
            <w:pPr>
              <w:jc w:val="both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Type of prescription</w:t>
            </w:r>
          </w:p>
        </w:tc>
        <w:tc>
          <w:tcPr>
            <w:tcW w:w="3035" w:type="dxa"/>
            <w:gridSpan w:val="2"/>
            <w:shd w:val="clear" w:color="auto" w:fill="BFBFBF" w:themeFill="background1" w:themeFillShade="BF"/>
          </w:tcPr>
          <w:p w:rsidR="00A93FE6" w:rsidRPr="00495DD0" w:rsidRDefault="00A93FE6" w:rsidP="00695164">
            <w:pPr>
              <w:jc w:val="center"/>
              <w:cnfStyle w:val="1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MMU</w:t>
            </w:r>
          </w:p>
        </w:tc>
        <w:tc>
          <w:tcPr>
            <w:tcW w:w="3228" w:type="dxa"/>
            <w:gridSpan w:val="2"/>
            <w:shd w:val="clear" w:color="auto" w:fill="BFBFBF" w:themeFill="background1" w:themeFillShade="BF"/>
          </w:tcPr>
          <w:p w:rsidR="00A93FE6" w:rsidRPr="00495DD0" w:rsidRDefault="00A93FE6" w:rsidP="00695164">
            <w:pPr>
              <w:jc w:val="center"/>
              <w:cnfStyle w:val="1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HWC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:rsidR="00A93FE6" w:rsidRPr="00495DD0" w:rsidRDefault="00A93FE6" w:rsidP="00695164">
            <w:pPr>
              <w:jc w:val="both"/>
              <w:cnfStyle w:val="1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 xml:space="preserve">Total </w:t>
            </w:r>
          </w:p>
        </w:tc>
      </w:tr>
      <w:tr w:rsidR="00A93FE6" w:rsidRPr="00495DD0" w:rsidTr="00A93FE6">
        <w:trPr>
          <w:trHeight w:val="821"/>
        </w:trPr>
        <w:tc>
          <w:tcPr>
            <w:cnfStyle w:val="001000000000"/>
            <w:tcW w:w="1630" w:type="dxa"/>
          </w:tcPr>
          <w:p w:rsidR="00A93FE6" w:rsidRPr="00495DD0" w:rsidRDefault="00A93FE6" w:rsidP="006951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9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General consultation</w:t>
            </w: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Specialist</w:t>
            </w:r>
          </w:p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Consultation</w:t>
            </w:r>
          </w:p>
        </w:tc>
        <w:tc>
          <w:tcPr>
            <w:tcW w:w="1682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General consultation</w:t>
            </w: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Specialist</w:t>
            </w:r>
          </w:p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Consultation</w:t>
            </w:r>
          </w:p>
        </w:tc>
        <w:tc>
          <w:tcPr>
            <w:tcW w:w="77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</w:p>
        </w:tc>
      </w:tr>
      <w:tr w:rsidR="00A93FE6" w:rsidRPr="00495DD0" w:rsidTr="00A93FE6">
        <w:trPr>
          <w:trHeight w:val="836"/>
        </w:trPr>
        <w:tc>
          <w:tcPr>
            <w:cnfStyle w:val="001000000000"/>
            <w:tcW w:w="1630" w:type="dxa"/>
          </w:tcPr>
          <w:p w:rsidR="00A93FE6" w:rsidRPr="00495DD0" w:rsidRDefault="00A93FE6" w:rsidP="00695164">
            <w:pPr>
              <w:jc w:val="both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Telemedicine (E-Prescription)</w:t>
            </w:r>
          </w:p>
        </w:tc>
        <w:tc>
          <w:tcPr>
            <w:tcW w:w="1489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15</w:t>
            </w: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10</w:t>
            </w:r>
          </w:p>
        </w:tc>
        <w:tc>
          <w:tcPr>
            <w:tcW w:w="1682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15</w:t>
            </w: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10</w:t>
            </w:r>
          </w:p>
        </w:tc>
        <w:tc>
          <w:tcPr>
            <w:tcW w:w="77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  <w:r w:rsidRPr="00495DD0">
              <w:rPr>
                <w:rFonts w:ascii="Arial" w:hAnsi="Arial" w:cs="Arial"/>
                <w:b/>
              </w:rPr>
              <w:t>50</w:t>
            </w:r>
          </w:p>
        </w:tc>
      </w:tr>
      <w:tr w:rsidR="00A93FE6" w:rsidRPr="00495DD0" w:rsidTr="00A93FE6">
        <w:trPr>
          <w:trHeight w:val="552"/>
        </w:trPr>
        <w:tc>
          <w:tcPr>
            <w:cnfStyle w:val="001000000000"/>
            <w:tcW w:w="1630" w:type="dxa"/>
          </w:tcPr>
          <w:p w:rsidR="00A93FE6" w:rsidRPr="00495DD0" w:rsidRDefault="00A93FE6" w:rsidP="00695164">
            <w:pPr>
              <w:jc w:val="both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 xml:space="preserve">Manual Prescription </w:t>
            </w:r>
          </w:p>
        </w:tc>
        <w:tc>
          <w:tcPr>
            <w:tcW w:w="1489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Nil</w:t>
            </w: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Nil</w:t>
            </w:r>
            <w:bookmarkStart w:id="6" w:name="_GoBack"/>
            <w:bookmarkEnd w:id="6"/>
          </w:p>
        </w:tc>
        <w:tc>
          <w:tcPr>
            <w:tcW w:w="1682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15</w:t>
            </w: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10</w:t>
            </w:r>
          </w:p>
        </w:tc>
        <w:tc>
          <w:tcPr>
            <w:tcW w:w="77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  <w:r w:rsidRPr="00495DD0">
              <w:rPr>
                <w:rFonts w:ascii="Arial" w:hAnsi="Arial" w:cs="Arial"/>
                <w:b/>
              </w:rPr>
              <w:t>25</w:t>
            </w:r>
          </w:p>
        </w:tc>
      </w:tr>
      <w:tr w:rsidR="00A93FE6" w:rsidRPr="00495DD0" w:rsidTr="00A93FE6">
        <w:trPr>
          <w:trHeight w:val="552"/>
        </w:trPr>
        <w:tc>
          <w:tcPr>
            <w:cnfStyle w:val="001000000000"/>
            <w:tcW w:w="1630" w:type="dxa"/>
          </w:tcPr>
          <w:p w:rsidR="00A93FE6" w:rsidRPr="00495DD0" w:rsidRDefault="00A93FE6" w:rsidP="00695164">
            <w:pPr>
              <w:jc w:val="both"/>
              <w:rPr>
                <w:rFonts w:ascii="Arial" w:hAnsi="Arial" w:cs="Arial"/>
                <w:b w:val="0"/>
              </w:rPr>
            </w:pPr>
            <w:r w:rsidRPr="00495DD0">
              <w:rPr>
                <w:rFonts w:ascii="Arial" w:hAnsi="Arial" w:cs="Arial"/>
                <w:b w:val="0"/>
              </w:rPr>
              <w:t xml:space="preserve">Total </w:t>
            </w:r>
          </w:p>
        </w:tc>
        <w:tc>
          <w:tcPr>
            <w:tcW w:w="1489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</w:p>
        </w:tc>
        <w:tc>
          <w:tcPr>
            <w:tcW w:w="1682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</w:p>
        </w:tc>
        <w:tc>
          <w:tcPr>
            <w:tcW w:w="154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</w:p>
        </w:tc>
        <w:tc>
          <w:tcPr>
            <w:tcW w:w="776" w:type="dxa"/>
          </w:tcPr>
          <w:p w:rsidR="00A93FE6" w:rsidRPr="00495DD0" w:rsidRDefault="00A93FE6" w:rsidP="00695164">
            <w:pPr>
              <w:jc w:val="center"/>
              <w:cnfStyle w:val="000000000000"/>
              <w:rPr>
                <w:rFonts w:ascii="Arial" w:hAnsi="Arial" w:cs="Arial"/>
                <w:b/>
              </w:rPr>
            </w:pPr>
            <w:r w:rsidRPr="00495DD0">
              <w:rPr>
                <w:rFonts w:ascii="Arial" w:hAnsi="Arial" w:cs="Arial"/>
                <w:b/>
              </w:rPr>
              <w:t>75</w:t>
            </w:r>
          </w:p>
        </w:tc>
      </w:tr>
    </w:tbl>
    <w:p w:rsidR="00A93FE6" w:rsidRPr="00495DD0" w:rsidRDefault="00A93FE6" w:rsidP="008D6374">
      <w:pPr>
        <w:ind w:left="1080"/>
        <w:jc w:val="both"/>
        <w:rPr>
          <w:rFonts w:ascii="Arial" w:hAnsi="Arial" w:cs="Arial"/>
        </w:rPr>
      </w:pPr>
    </w:p>
    <w:p w:rsidR="004C394F" w:rsidRPr="00495DD0" w:rsidRDefault="00984350" w:rsidP="0045258F">
      <w:pPr>
        <w:jc w:val="both"/>
        <w:rPr>
          <w:rFonts w:ascii="Arial" w:hAnsi="Arial" w:cs="Arial"/>
          <w:b/>
        </w:rPr>
      </w:pPr>
      <w:r w:rsidRPr="00495DD0">
        <w:rPr>
          <w:rFonts w:ascii="Arial" w:hAnsi="Arial" w:cs="Arial"/>
          <w:b/>
        </w:rPr>
        <w:t xml:space="preserve">The study will adopt </w:t>
      </w:r>
      <w:r w:rsidR="004C394F" w:rsidRPr="00495DD0">
        <w:rPr>
          <w:rFonts w:ascii="Arial" w:hAnsi="Arial" w:cs="Arial"/>
          <w:b/>
        </w:rPr>
        <w:t xml:space="preserve">stratified simple random sampling methodology. </w:t>
      </w:r>
    </w:p>
    <w:p w:rsidR="004C394F" w:rsidRPr="00495DD0" w:rsidRDefault="004C394F" w:rsidP="00E16083">
      <w:pPr>
        <w:ind w:left="851"/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The data received will be stratified based on type of specialty and then sampling frame will be developed using Probability proportional to size (PPS) sampling method. Following that </w:t>
      </w:r>
      <w:r w:rsidR="008D6374" w:rsidRPr="00495DD0">
        <w:rPr>
          <w:rFonts w:ascii="Arial" w:hAnsi="Arial" w:cs="Arial"/>
        </w:rPr>
        <w:t>5</w:t>
      </w:r>
      <w:r w:rsidR="00915CD2" w:rsidRPr="00495DD0">
        <w:rPr>
          <w:rFonts w:ascii="Arial" w:hAnsi="Arial" w:cs="Arial"/>
        </w:rPr>
        <w:t>0</w:t>
      </w:r>
      <w:r w:rsidRPr="00495DD0">
        <w:rPr>
          <w:rFonts w:ascii="Arial" w:hAnsi="Arial" w:cs="Arial"/>
        </w:rPr>
        <w:t xml:space="preserve"> sample prescriptions will be selected using SRS with replacement. </w:t>
      </w:r>
    </w:p>
    <w:p w:rsidR="004C394F" w:rsidRPr="00495DD0" w:rsidRDefault="004C394F" w:rsidP="0045258F">
      <w:p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The prescriptions will be </w:t>
      </w:r>
      <w:r w:rsidR="00E66B8F" w:rsidRPr="00495DD0">
        <w:rPr>
          <w:rFonts w:ascii="Arial" w:hAnsi="Arial" w:cs="Arial"/>
        </w:rPr>
        <w:t xml:space="preserve">audited </w:t>
      </w:r>
      <w:r w:rsidRPr="00495DD0">
        <w:rPr>
          <w:rFonts w:ascii="Arial" w:hAnsi="Arial" w:cs="Arial"/>
        </w:rPr>
        <w:t xml:space="preserve">based on </w:t>
      </w:r>
    </w:p>
    <w:p w:rsidR="004C394F" w:rsidRPr="00495DD0" w:rsidRDefault="004C394F" w:rsidP="00E16083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Appropriate</w:t>
      </w:r>
    </w:p>
    <w:p w:rsidR="004C394F" w:rsidRPr="00495DD0" w:rsidRDefault="004C394F" w:rsidP="00E16083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not appropriate</w:t>
      </w:r>
    </w:p>
    <w:p w:rsidR="004C394F" w:rsidRPr="00495DD0" w:rsidRDefault="004C394F" w:rsidP="00E16083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undetermined</w:t>
      </w:r>
    </w:p>
    <w:p w:rsidR="004C394F" w:rsidRPr="00495DD0" w:rsidRDefault="00E66B8F" w:rsidP="00E16083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inadequate information</w:t>
      </w:r>
    </w:p>
    <w:p w:rsidR="00E66B8F" w:rsidRPr="00495DD0" w:rsidRDefault="00E66B8F" w:rsidP="00E16083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>Completeness of information</w:t>
      </w:r>
    </w:p>
    <w:p w:rsidR="00C23308" w:rsidRPr="00495DD0" w:rsidRDefault="00C23308" w:rsidP="0045258F">
      <w:pPr>
        <w:jc w:val="both"/>
        <w:rPr>
          <w:rFonts w:ascii="Arial" w:hAnsi="Arial" w:cs="Arial"/>
          <w:b/>
          <w:bCs/>
        </w:rPr>
      </w:pPr>
      <w:r w:rsidRPr="00495DD0">
        <w:rPr>
          <w:rFonts w:ascii="Arial" w:hAnsi="Arial" w:cs="Arial"/>
          <w:b/>
          <w:bCs/>
        </w:rPr>
        <w:t xml:space="preserve">Objective 1:  To do classification of Prescription as per Treatment Appropriateness  </w:t>
      </w:r>
    </w:p>
    <w:p w:rsidR="00C23308" w:rsidRPr="00495DD0" w:rsidRDefault="00B04BCC" w:rsidP="0045258F">
      <w:pPr>
        <w:jc w:val="both"/>
        <w:rPr>
          <w:rFonts w:ascii="Arial" w:hAnsi="Arial" w:cs="Arial"/>
          <w:bCs/>
        </w:rPr>
      </w:pPr>
      <w:r w:rsidRPr="00495DD0">
        <w:rPr>
          <w:rFonts w:ascii="Arial" w:hAnsi="Arial" w:cs="Arial"/>
          <w:b/>
          <w:bCs/>
        </w:rPr>
        <w:t xml:space="preserve">Proposed </w:t>
      </w:r>
      <w:r w:rsidR="00C23308" w:rsidRPr="00495DD0">
        <w:rPr>
          <w:rFonts w:ascii="Arial" w:hAnsi="Arial" w:cs="Arial"/>
          <w:b/>
          <w:bCs/>
        </w:rPr>
        <w:t xml:space="preserve">Framework: </w:t>
      </w:r>
      <w:r w:rsidR="00C23308" w:rsidRPr="00495DD0">
        <w:rPr>
          <w:rFonts w:ascii="Arial" w:hAnsi="Arial" w:cs="Arial"/>
          <w:bCs/>
        </w:rPr>
        <w:t xml:space="preserve">variables in the framework will be developed after referencing 2002 MCI prescription guidelines, telemedicine guideline by MoHFW issued in March 2020 and NQAS parameters </w:t>
      </w:r>
    </w:p>
    <w:p w:rsidR="00517EDE" w:rsidRPr="00495DD0" w:rsidRDefault="00517EDE" w:rsidP="0045258F">
      <w:pPr>
        <w:jc w:val="both"/>
        <w:rPr>
          <w:rFonts w:ascii="Arial" w:hAnsi="Arial" w:cs="Arial"/>
          <w:b/>
          <w:bCs/>
        </w:rPr>
      </w:pPr>
      <w:r w:rsidRPr="00495DD0">
        <w:rPr>
          <w:rFonts w:ascii="Arial" w:hAnsi="Arial" w:cs="Arial"/>
          <w:bCs/>
        </w:rPr>
        <w:t xml:space="preserve">Table: Prescription audit framework as per Treatment Appropriateness  </w:t>
      </w:r>
    </w:p>
    <w:tbl>
      <w:tblPr>
        <w:tblStyle w:val="PlainTable1"/>
        <w:tblW w:w="9353" w:type="dxa"/>
        <w:tblInd w:w="640" w:type="dxa"/>
        <w:tblLook w:val="0420"/>
      </w:tblPr>
      <w:tblGrid>
        <w:gridCol w:w="718"/>
        <w:gridCol w:w="2195"/>
        <w:gridCol w:w="1463"/>
        <w:gridCol w:w="1463"/>
        <w:gridCol w:w="1696"/>
        <w:gridCol w:w="1818"/>
      </w:tblGrid>
      <w:tr w:rsidR="00C23308" w:rsidRPr="00495DD0" w:rsidTr="00C922CA">
        <w:trPr>
          <w:cnfStyle w:val="100000000000"/>
          <w:trHeight w:val="697"/>
        </w:trPr>
        <w:tc>
          <w:tcPr>
            <w:tcW w:w="6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S.No</w:t>
            </w:r>
          </w:p>
        </w:tc>
        <w:tc>
          <w:tcPr>
            <w:tcW w:w="22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Parameters/ Variable</w:t>
            </w:r>
          </w:p>
        </w:tc>
        <w:tc>
          <w:tcPr>
            <w:tcW w:w="1412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Appropriate (AP)</w:t>
            </w:r>
          </w:p>
        </w:tc>
        <w:tc>
          <w:tcPr>
            <w:tcW w:w="14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Not Appropriate (NAP)</w:t>
            </w:r>
          </w:p>
        </w:tc>
        <w:tc>
          <w:tcPr>
            <w:tcW w:w="1681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Undetermined (UD)</w:t>
            </w:r>
          </w:p>
        </w:tc>
        <w:tc>
          <w:tcPr>
            <w:tcW w:w="18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Inadequate Information (II)</w:t>
            </w:r>
          </w:p>
        </w:tc>
      </w:tr>
      <w:tr w:rsidR="00C23308" w:rsidRPr="00495DD0" w:rsidTr="00C922CA">
        <w:trPr>
          <w:cnfStyle w:val="000000100000"/>
          <w:trHeight w:val="377"/>
        </w:trPr>
        <w:tc>
          <w:tcPr>
            <w:tcW w:w="6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1</w:t>
            </w:r>
          </w:p>
        </w:tc>
        <w:tc>
          <w:tcPr>
            <w:tcW w:w="22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STG : Reference –Who, Mohfw, Dohfw</w:t>
            </w:r>
          </w:p>
        </w:tc>
        <w:tc>
          <w:tcPr>
            <w:tcW w:w="1412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681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8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C23308" w:rsidRPr="00495DD0" w:rsidTr="00C922CA">
        <w:trPr>
          <w:trHeight w:val="537"/>
        </w:trPr>
        <w:tc>
          <w:tcPr>
            <w:tcW w:w="6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2</w:t>
            </w:r>
          </w:p>
        </w:tc>
        <w:tc>
          <w:tcPr>
            <w:tcW w:w="22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Rationality &amp; Pattern Of Diagnostics</w:t>
            </w:r>
          </w:p>
        </w:tc>
        <w:tc>
          <w:tcPr>
            <w:tcW w:w="1412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681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8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C23308" w:rsidRPr="00495DD0" w:rsidTr="00C922CA">
        <w:trPr>
          <w:cnfStyle w:val="000000100000"/>
          <w:trHeight w:val="537"/>
        </w:trPr>
        <w:tc>
          <w:tcPr>
            <w:tcW w:w="6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3</w:t>
            </w:r>
          </w:p>
        </w:tc>
        <w:tc>
          <w:tcPr>
            <w:tcW w:w="22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 xml:space="preserve">Prescription Format: </w:t>
            </w:r>
            <w:r w:rsidRPr="00495DD0">
              <w:rPr>
                <w:rFonts w:ascii="Arial" w:hAnsi="Arial" w:cs="Arial"/>
                <w:b/>
                <w:bCs/>
                <w:lang w:val="en-IN"/>
              </w:rPr>
              <w:lastRenderedPageBreak/>
              <w:t>References- Telemedicine Guideline By Mohfw; NQAS</w:t>
            </w:r>
          </w:p>
        </w:tc>
        <w:tc>
          <w:tcPr>
            <w:tcW w:w="1412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681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8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C23308" w:rsidRPr="00495DD0" w:rsidTr="00C922CA">
        <w:trPr>
          <w:trHeight w:val="377"/>
        </w:trPr>
        <w:tc>
          <w:tcPr>
            <w:tcW w:w="6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22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Language &amp; Instructions</w:t>
            </w:r>
          </w:p>
        </w:tc>
        <w:tc>
          <w:tcPr>
            <w:tcW w:w="1412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681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8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C23308" w:rsidRPr="00495DD0" w:rsidTr="00C922CA">
        <w:trPr>
          <w:cnfStyle w:val="000000100000"/>
          <w:trHeight w:val="377"/>
        </w:trPr>
        <w:tc>
          <w:tcPr>
            <w:tcW w:w="6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5</w:t>
            </w:r>
          </w:p>
        </w:tc>
        <w:tc>
          <w:tcPr>
            <w:tcW w:w="22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Consent /Disclaimer</w:t>
            </w:r>
          </w:p>
        </w:tc>
        <w:tc>
          <w:tcPr>
            <w:tcW w:w="1412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63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681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867" w:type="dxa"/>
            <w:hideMark/>
          </w:tcPr>
          <w:p w:rsidR="00C23308" w:rsidRPr="00495DD0" w:rsidRDefault="00C23308" w:rsidP="00C23308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</w:tbl>
    <w:p w:rsidR="00C23308" w:rsidRPr="00495DD0" w:rsidRDefault="00C23308" w:rsidP="00C23308">
      <w:pPr>
        <w:jc w:val="both"/>
        <w:rPr>
          <w:rFonts w:ascii="Arial" w:hAnsi="Arial" w:cs="Arial"/>
          <w:b/>
          <w:bCs/>
        </w:rPr>
      </w:pPr>
    </w:p>
    <w:p w:rsidR="00C23308" w:rsidRPr="00495DD0" w:rsidRDefault="00C23308" w:rsidP="0045258F">
      <w:pPr>
        <w:jc w:val="both"/>
        <w:rPr>
          <w:rFonts w:ascii="Arial" w:hAnsi="Arial" w:cs="Arial"/>
          <w:b/>
          <w:bCs/>
        </w:rPr>
      </w:pPr>
      <w:r w:rsidRPr="00495DD0">
        <w:rPr>
          <w:rFonts w:ascii="Arial" w:hAnsi="Arial" w:cs="Arial"/>
          <w:b/>
          <w:bCs/>
        </w:rPr>
        <w:t>Objective 2: To Assess completeness of Prescription</w:t>
      </w:r>
    </w:p>
    <w:p w:rsidR="00C23308" w:rsidRPr="00495DD0" w:rsidRDefault="00517EDE" w:rsidP="0045258F">
      <w:pPr>
        <w:jc w:val="both"/>
        <w:rPr>
          <w:rFonts w:ascii="Arial" w:hAnsi="Arial" w:cs="Arial"/>
          <w:bCs/>
        </w:rPr>
      </w:pPr>
      <w:r w:rsidRPr="00495DD0">
        <w:rPr>
          <w:rFonts w:ascii="Arial" w:hAnsi="Arial" w:cs="Arial"/>
          <w:bCs/>
        </w:rPr>
        <w:t xml:space="preserve">Table: </w:t>
      </w:r>
      <w:r w:rsidR="00B04BCC" w:rsidRPr="00495DD0">
        <w:rPr>
          <w:rFonts w:ascii="Arial" w:hAnsi="Arial" w:cs="Arial"/>
          <w:bCs/>
        </w:rPr>
        <w:t xml:space="preserve">Proposed </w:t>
      </w:r>
      <w:r w:rsidRPr="00495DD0">
        <w:rPr>
          <w:rFonts w:ascii="Arial" w:hAnsi="Arial" w:cs="Arial"/>
          <w:bCs/>
        </w:rPr>
        <w:t xml:space="preserve">Audit </w:t>
      </w:r>
      <w:r w:rsidR="00B04BCC" w:rsidRPr="00495DD0">
        <w:rPr>
          <w:rFonts w:ascii="Arial" w:hAnsi="Arial" w:cs="Arial"/>
          <w:bCs/>
        </w:rPr>
        <w:t>Framework</w:t>
      </w:r>
      <w:r w:rsidRPr="00495DD0">
        <w:rPr>
          <w:rFonts w:ascii="Arial" w:hAnsi="Arial" w:cs="Arial"/>
          <w:bCs/>
        </w:rPr>
        <w:t xml:space="preserve"> for Prescription completeness </w:t>
      </w:r>
    </w:p>
    <w:tbl>
      <w:tblPr>
        <w:tblStyle w:val="GridTableLight"/>
        <w:tblW w:w="9149" w:type="dxa"/>
        <w:tblInd w:w="520" w:type="dxa"/>
        <w:tblLook w:val="0420"/>
      </w:tblPr>
      <w:tblGrid>
        <w:gridCol w:w="718"/>
        <w:gridCol w:w="2808"/>
        <w:gridCol w:w="1262"/>
        <w:gridCol w:w="1392"/>
        <w:gridCol w:w="1576"/>
        <w:gridCol w:w="1393"/>
      </w:tblGrid>
      <w:tr w:rsidR="00B04BCC" w:rsidRPr="00495DD0" w:rsidTr="00C922CA">
        <w:trPr>
          <w:trHeight w:val="98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S.No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Adequate</w:t>
            </w: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Inadequate</w:t>
            </w: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Underminate</w:t>
            </w: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Inadequate</w:t>
            </w:r>
          </w:p>
        </w:tc>
      </w:tr>
      <w:tr w:rsidR="00B04BCC" w:rsidRPr="00495DD0" w:rsidTr="00C922CA">
        <w:trPr>
          <w:trHeight w:val="148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1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MCI Guidelines</w:t>
            </w: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B04BCC" w:rsidRPr="00495DD0" w:rsidTr="00C922CA">
        <w:trPr>
          <w:trHeight w:val="148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2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Telemedicine Guidelines</w:t>
            </w:r>
          </w:p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3.7</w:t>
            </w: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B04BCC" w:rsidRPr="00495DD0" w:rsidTr="00C922CA">
        <w:trPr>
          <w:trHeight w:val="211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3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Data Completeness</w:t>
            </w: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B04BCC" w:rsidRPr="00495DD0" w:rsidTr="00C922CA">
        <w:trPr>
          <w:trHeight w:val="148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4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Data Accuracy</w:t>
            </w: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B04BCC" w:rsidRPr="00495DD0" w:rsidTr="00C922CA">
        <w:trPr>
          <w:trHeight w:val="211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5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Core Indicators Of Who</w:t>
            </w: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B04BCC" w:rsidRPr="00495DD0" w:rsidTr="00C922CA">
        <w:trPr>
          <w:trHeight w:val="318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6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Health Advice/</w:t>
            </w:r>
          </w:p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Counselling/</w:t>
            </w:r>
          </w:p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>Details Of Prescribing Medicine</w:t>
            </w: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B04BCC" w:rsidRPr="00495DD0" w:rsidTr="00C922CA">
        <w:trPr>
          <w:trHeight w:val="148"/>
        </w:trPr>
        <w:tc>
          <w:tcPr>
            <w:tcW w:w="70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  <w:r w:rsidRPr="00495DD0">
              <w:rPr>
                <w:rFonts w:ascii="Arial" w:hAnsi="Arial" w:cs="Arial"/>
                <w:b/>
                <w:bCs/>
                <w:lang w:val="en-IN"/>
              </w:rPr>
              <w:t>7</w:t>
            </w:r>
          </w:p>
        </w:tc>
        <w:tc>
          <w:tcPr>
            <w:tcW w:w="282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Cs/>
                <w:lang w:val="en-IN"/>
              </w:rPr>
            </w:pPr>
            <w:r w:rsidRPr="00495DD0">
              <w:rPr>
                <w:rFonts w:ascii="Arial" w:hAnsi="Arial" w:cs="Arial"/>
                <w:bCs/>
                <w:lang w:val="en-IN"/>
              </w:rPr>
              <w:t xml:space="preserve">12 Services Ayushman Bharat </w:t>
            </w:r>
          </w:p>
        </w:tc>
        <w:tc>
          <w:tcPr>
            <w:tcW w:w="126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2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576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393" w:type="dxa"/>
            <w:hideMark/>
          </w:tcPr>
          <w:p w:rsidR="00B04BCC" w:rsidRPr="00495DD0" w:rsidRDefault="00B04BCC" w:rsidP="00B04BCC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</w:tbl>
    <w:p w:rsidR="00C922CA" w:rsidRPr="00495DD0" w:rsidRDefault="00C922CA" w:rsidP="00C23308">
      <w:pPr>
        <w:jc w:val="both"/>
        <w:rPr>
          <w:rFonts w:ascii="Arial" w:hAnsi="Arial" w:cs="Arial"/>
          <w:b/>
          <w:bCs/>
        </w:rPr>
      </w:pPr>
    </w:p>
    <w:p w:rsidR="00C922CA" w:rsidRPr="00495DD0" w:rsidRDefault="00C922CA" w:rsidP="0045258F">
      <w:pPr>
        <w:jc w:val="both"/>
        <w:rPr>
          <w:rFonts w:ascii="Arial" w:hAnsi="Arial" w:cs="Arial"/>
          <w:b/>
          <w:color w:val="1F4E79" w:themeColor="accent1" w:themeShade="80"/>
        </w:rPr>
      </w:pPr>
      <w:r w:rsidRPr="00495DD0">
        <w:rPr>
          <w:rFonts w:ascii="Arial" w:hAnsi="Arial" w:cs="Arial"/>
          <w:b/>
          <w:color w:val="000000" w:themeColor="text1"/>
        </w:rPr>
        <w:t xml:space="preserve">Audit Framework: </w:t>
      </w:r>
    </w:p>
    <w:p w:rsidR="00C922CA" w:rsidRPr="00495DD0" w:rsidRDefault="00C922CA" w:rsidP="0045258F">
      <w:pPr>
        <w:jc w:val="both"/>
        <w:rPr>
          <w:rFonts w:ascii="Arial" w:hAnsi="Arial" w:cs="Arial"/>
          <w:color w:val="1F4E79" w:themeColor="accent1" w:themeShade="80"/>
        </w:rPr>
      </w:pPr>
      <w:r w:rsidRPr="00495DD0">
        <w:rPr>
          <w:rFonts w:ascii="Arial" w:hAnsi="Arial" w:cs="Arial"/>
          <w:color w:val="000000" w:themeColor="text1"/>
        </w:rPr>
        <w:t xml:space="preserve">We proposed a prescription audit on the following objective criteria, however this will be finalized in consultation with the mentor </w:t>
      </w:r>
    </w:p>
    <w:tbl>
      <w:tblPr>
        <w:tblW w:w="8753" w:type="dxa"/>
        <w:tblInd w:w="820" w:type="dxa"/>
        <w:tblLook w:val="04A0"/>
      </w:tblPr>
      <w:tblGrid>
        <w:gridCol w:w="820"/>
        <w:gridCol w:w="5120"/>
        <w:gridCol w:w="608"/>
        <w:gridCol w:w="510"/>
        <w:gridCol w:w="563"/>
        <w:gridCol w:w="1150"/>
      </w:tblGrid>
      <w:tr w:rsidR="00C922CA" w:rsidRPr="00495DD0" w:rsidTr="00C922CA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S No.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Objective Criteria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Yes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No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NA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Remarks</w:t>
            </w:r>
          </w:p>
        </w:tc>
      </w:tr>
      <w:tr w:rsidR="00C922CA" w:rsidRPr="00495DD0" w:rsidTr="00C922CA">
        <w:trPr>
          <w:trHeight w:val="63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Medication Orders bear the name of the Doctor (Prescriber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All orders written in uniform designated location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63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Medication Orders are Legible and Clear (Written in Capital Letter)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Medication Orders are dated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Medication Orders are Signed by Authorized Person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63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Prescription bears the name of the patient that is legible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63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Prescription bears the second patient identifier as Age/ Address / Father's or Spouse Name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Patient registration No. is mentioned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Clinical Diagnosis is mentioned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Drug Allergy Ascertained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lastRenderedPageBreak/>
              <w:t>11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Name of the Medicine Written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Route of Administration Written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Dose to be Administered Written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Frequency/ Time of Administration Written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63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Verbal Orders Counter Signed By Clinician with in 24 hrs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Drug - Drug Interactions Mentioned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94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High Risk Medications: MCI/ State Medical Council Registration Number of Prescribing Doctor Mentioned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  <w:tr w:rsidR="00C922CA" w:rsidRPr="00495DD0" w:rsidTr="00C922CA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18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Whether the drug is relevant to the disease/condition?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CA" w:rsidRPr="00495DD0" w:rsidRDefault="00C922CA" w:rsidP="006951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495DD0">
              <w:rPr>
                <w:rFonts w:ascii="Arial" w:eastAsia="Times New Roman" w:hAnsi="Arial" w:cs="Arial"/>
                <w:color w:val="000000"/>
                <w:lang w:val="en-IN" w:eastAsia="en-IN"/>
              </w:rPr>
              <w:t> </w:t>
            </w:r>
          </w:p>
        </w:tc>
      </w:tr>
    </w:tbl>
    <w:p w:rsidR="00C922CA" w:rsidRPr="00495DD0" w:rsidRDefault="00C922CA" w:rsidP="00C922CA">
      <w:pPr>
        <w:jc w:val="both"/>
        <w:rPr>
          <w:rFonts w:ascii="Arial" w:hAnsi="Arial" w:cs="Arial"/>
        </w:rPr>
      </w:pPr>
    </w:p>
    <w:p w:rsidR="00C922CA" w:rsidRPr="00495DD0" w:rsidRDefault="00C922CA" w:rsidP="00C23308">
      <w:pPr>
        <w:jc w:val="both"/>
        <w:rPr>
          <w:rFonts w:ascii="Arial" w:hAnsi="Arial" w:cs="Arial"/>
          <w:b/>
          <w:bCs/>
        </w:rPr>
      </w:pPr>
    </w:p>
    <w:p w:rsidR="008B4EBA" w:rsidRPr="00495DD0" w:rsidRDefault="008B4EBA" w:rsidP="0045258F">
      <w:pPr>
        <w:jc w:val="both"/>
        <w:rPr>
          <w:rFonts w:ascii="Arial" w:hAnsi="Arial" w:cs="Arial"/>
          <w:b/>
          <w:bCs/>
        </w:rPr>
      </w:pPr>
      <w:r w:rsidRPr="00495DD0">
        <w:rPr>
          <w:rFonts w:ascii="Arial" w:hAnsi="Arial" w:cs="Arial"/>
          <w:b/>
          <w:bCs/>
        </w:rPr>
        <w:t>Objective 3: Comparative Analysis of e- prescription &amp; manual Prescription</w:t>
      </w:r>
    </w:p>
    <w:p w:rsidR="008B4EBA" w:rsidRPr="00495DD0" w:rsidRDefault="00517EDE" w:rsidP="0045258F">
      <w:pPr>
        <w:jc w:val="both"/>
        <w:rPr>
          <w:rFonts w:ascii="Arial" w:hAnsi="Arial" w:cs="Arial"/>
          <w:bCs/>
        </w:rPr>
      </w:pPr>
      <w:r w:rsidRPr="00495DD0">
        <w:rPr>
          <w:rFonts w:ascii="Arial" w:hAnsi="Arial" w:cs="Arial"/>
          <w:bCs/>
        </w:rPr>
        <w:t xml:space="preserve">Table: </w:t>
      </w:r>
      <w:r w:rsidR="008B4EBA" w:rsidRPr="00495DD0">
        <w:rPr>
          <w:rFonts w:ascii="Arial" w:hAnsi="Arial" w:cs="Arial"/>
          <w:bCs/>
        </w:rPr>
        <w:t xml:space="preserve">Proposed </w:t>
      </w:r>
      <w:r w:rsidRPr="00495DD0">
        <w:rPr>
          <w:rFonts w:ascii="Arial" w:hAnsi="Arial" w:cs="Arial"/>
          <w:bCs/>
        </w:rPr>
        <w:t xml:space="preserve">audit </w:t>
      </w:r>
      <w:r w:rsidR="008B4EBA" w:rsidRPr="00495DD0">
        <w:rPr>
          <w:rFonts w:ascii="Arial" w:hAnsi="Arial" w:cs="Arial"/>
          <w:bCs/>
        </w:rPr>
        <w:t>Framework</w:t>
      </w:r>
      <w:r w:rsidRPr="00495DD0">
        <w:rPr>
          <w:rFonts w:ascii="Arial" w:hAnsi="Arial" w:cs="Arial"/>
          <w:bCs/>
        </w:rPr>
        <w:t xml:space="preserve"> of e- prescription &amp; manual Prescription</w:t>
      </w:r>
    </w:p>
    <w:tbl>
      <w:tblPr>
        <w:tblStyle w:val="GridTable1LightAccent3"/>
        <w:tblW w:w="8263" w:type="dxa"/>
        <w:tblInd w:w="988" w:type="dxa"/>
        <w:tblLook w:val="0420"/>
      </w:tblPr>
      <w:tblGrid>
        <w:gridCol w:w="2388"/>
        <w:gridCol w:w="1700"/>
        <w:gridCol w:w="1783"/>
        <w:gridCol w:w="973"/>
        <w:gridCol w:w="1419"/>
      </w:tblGrid>
      <w:tr w:rsidR="008B4EBA" w:rsidRPr="00495DD0" w:rsidTr="008D6374">
        <w:trPr>
          <w:cnfStyle w:val="100000000000"/>
          <w:trHeight w:val="375"/>
        </w:trPr>
        <w:tc>
          <w:tcPr>
            <w:tcW w:w="2388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Parameters/Variable</w:t>
            </w:r>
          </w:p>
        </w:tc>
        <w:tc>
          <w:tcPr>
            <w:tcW w:w="1700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E Prescription</w:t>
            </w:r>
          </w:p>
        </w:tc>
        <w:tc>
          <w:tcPr>
            <w:tcW w:w="178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Manual Prescription</w:t>
            </w:r>
          </w:p>
        </w:tc>
        <w:tc>
          <w:tcPr>
            <w:tcW w:w="97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 xml:space="preserve">Gaps </w:t>
            </w:r>
          </w:p>
        </w:tc>
        <w:tc>
          <w:tcPr>
            <w:tcW w:w="1419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lang w:val="en-IN"/>
              </w:rPr>
            </w:pPr>
            <w:r w:rsidRPr="00495DD0">
              <w:rPr>
                <w:rFonts w:ascii="Arial" w:hAnsi="Arial" w:cs="Arial"/>
                <w:lang w:val="en-IN"/>
              </w:rPr>
              <w:t>Comment (assess benefit/ drawback)</w:t>
            </w:r>
          </w:p>
        </w:tc>
      </w:tr>
      <w:tr w:rsidR="008B4EBA" w:rsidRPr="00495DD0" w:rsidTr="008D6374">
        <w:trPr>
          <w:trHeight w:val="217"/>
        </w:trPr>
        <w:tc>
          <w:tcPr>
            <w:tcW w:w="2388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700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78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97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19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8B4EBA" w:rsidRPr="00495DD0" w:rsidTr="008D6374">
        <w:trPr>
          <w:trHeight w:val="217"/>
        </w:trPr>
        <w:tc>
          <w:tcPr>
            <w:tcW w:w="2388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700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78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97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19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  <w:tr w:rsidR="008B4EBA" w:rsidRPr="00495DD0" w:rsidTr="008D6374">
        <w:trPr>
          <w:trHeight w:val="217"/>
        </w:trPr>
        <w:tc>
          <w:tcPr>
            <w:tcW w:w="2388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700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78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973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  <w:tc>
          <w:tcPr>
            <w:tcW w:w="1419" w:type="dxa"/>
            <w:hideMark/>
          </w:tcPr>
          <w:p w:rsidR="008B4EBA" w:rsidRPr="00495DD0" w:rsidRDefault="008B4EBA" w:rsidP="008B4EBA">
            <w:pPr>
              <w:spacing w:after="160"/>
              <w:jc w:val="both"/>
              <w:rPr>
                <w:rFonts w:ascii="Arial" w:hAnsi="Arial" w:cs="Arial"/>
                <w:b/>
                <w:bCs/>
                <w:lang w:val="en-IN"/>
              </w:rPr>
            </w:pPr>
          </w:p>
        </w:tc>
      </w:tr>
    </w:tbl>
    <w:p w:rsidR="008B4EBA" w:rsidRPr="00495DD0" w:rsidRDefault="008B4EBA" w:rsidP="00C23308">
      <w:pPr>
        <w:jc w:val="both"/>
        <w:rPr>
          <w:rFonts w:ascii="Arial" w:hAnsi="Arial" w:cs="Arial"/>
          <w:b/>
          <w:bCs/>
        </w:rPr>
      </w:pPr>
    </w:p>
    <w:p w:rsidR="008B4EBA" w:rsidRPr="00495DD0" w:rsidRDefault="008B4EBA" w:rsidP="00C23308">
      <w:pPr>
        <w:jc w:val="both"/>
        <w:rPr>
          <w:rFonts w:ascii="Arial" w:hAnsi="Arial" w:cs="Arial"/>
        </w:rPr>
      </w:pPr>
    </w:p>
    <w:bookmarkEnd w:id="5"/>
    <w:p w:rsidR="00C779E8" w:rsidRPr="00495DD0" w:rsidRDefault="00784AB9" w:rsidP="00E16083">
      <w:pPr>
        <w:pStyle w:val="ListParagraph"/>
        <w:numPr>
          <w:ilvl w:val="1"/>
          <w:numId w:val="34"/>
        </w:numPr>
        <w:ind w:left="851" w:firstLine="0"/>
        <w:jc w:val="both"/>
        <w:rPr>
          <w:rFonts w:ascii="Arial" w:hAnsi="Arial" w:cs="Arial"/>
        </w:rPr>
      </w:pPr>
      <w:r w:rsidRPr="00495DD0">
        <w:rPr>
          <w:rFonts w:ascii="Arial" w:hAnsi="Arial" w:cs="Arial"/>
          <w:color w:val="1F4E79" w:themeColor="accent1" w:themeShade="80"/>
        </w:rPr>
        <w:t xml:space="preserve">Beneficiary assessment </w:t>
      </w:r>
    </w:p>
    <w:p w:rsidR="00517EDE" w:rsidRPr="00495DD0" w:rsidRDefault="00517EDE" w:rsidP="00517EDE">
      <w:pPr>
        <w:pStyle w:val="ListParagraph"/>
        <w:ind w:left="851"/>
        <w:jc w:val="both"/>
        <w:rPr>
          <w:rFonts w:ascii="Arial" w:hAnsi="Arial" w:cs="Arial"/>
          <w:color w:val="1F4E79" w:themeColor="accent1" w:themeShade="80"/>
        </w:rPr>
      </w:pPr>
    </w:p>
    <w:p w:rsidR="00517EDE" w:rsidRPr="00495DD0" w:rsidRDefault="00517EDE" w:rsidP="0045258F">
      <w:pPr>
        <w:jc w:val="both"/>
        <w:rPr>
          <w:rFonts w:ascii="Arial" w:hAnsi="Arial" w:cs="Arial"/>
          <w:b/>
        </w:rPr>
      </w:pPr>
      <w:r w:rsidRPr="00495DD0">
        <w:rPr>
          <w:rFonts w:ascii="Arial" w:hAnsi="Arial" w:cs="Arial"/>
          <w:b/>
        </w:rPr>
        <w:t xml:space="preserve">Objective 4: beneficiary feedback </w:t>
      </w:r>
    </w:p>
    <w:p w:rsidR="00517EDE" w:rsidRPr="00495DD0" w:rsidRDefault="00517EDE" w:rsidP="0045258F">
      <w:pPr>
        <w:jc w:val="both"/>
        <w:rPr>
          <w:rFonts w:ascii="Arial" w:hAnsi="Arial" w:cs="Arial"/>
          <w:lang w:val="en-IN"/>
        </w:rPr>
      </w:pPr>
      <w:r w:rsidRPr="00495DD0">
        <w:rPr>
          <w:rFonts w:ascii="Arial" w:hAnsi="Arial" w:cs="Arial"/>
          <w:lang w:val="en-IN"/>
        </w:rPr>
        <w:t>The beneficiary feedback will be taken on following areas and a prescribed format will be developed in consultation with the mentor</w:t>
      </w:r>
    </w:p>
    <w:p w:rsidR="00517EDE" w:rsidRPr="00495DD0" w:rsidRDefault="00517EDE" w:rsidP="00517EDE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lang w:val="en-IN"/>
        </w:rPr>
      </w:pPr>
      <w:r w:rsidRPr="00495DD0">
        <w:rPr>
          <w:rFonts w:ascii="Arial" w:hAnsi="Arial" w:cs="Arial"/>
          <w:lang w:val="en-IN"/>
        </w:rPr>
        <w:t xml:space="preserve">Identifying accessibility, acceptability, affordability factors of care related to service delivery mechanism. </w:t>
      </w:r>
    </w:p>
    <w:p w:rsidR="00517EDE" w:rsidRPr="00495DD0" w:rsidRDefault="00517EDE" w:rsidP="00517EDE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lang w:val="en-IN"/>
        </w:rPr>
      </w:pPr>
      <w:r w:rsidRPr="00495DD0">
        <w:rPr>
          <w:rFonts w:ascii="Arial" w:hAnsi="Arial" w:cs="Arial"/>
          <w:lang w:val="en-IN"/>
        </w:rPr>
        <w:t xml:space="preserve">Exploring organizational or programmatic areas of improvement for course correction, notably within the context of quality healthcare service delivery systems and processes. </w:t>
      </w:r>
    </w:p>
    <w:p w:rsidR="00517EDE" w:rsidRPr="00495DD0" w:rsidRDefault="00517EDE" w:rsidP="00517EDE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lang w:val="en-IN"/>
        </w:rPr>
      </w:pPr>
      <w:r w:rsidRPr="00495DD0">
        <w:rPr>
          <w:rFonts w:ascii="Arial" w:hAnsi="Arial" w:cs="Arial"/>
          <w:lang w:val="en-IN"/>
        </w:rPr>
        <w:t xml:space="preserve">Quantifying aspirations and perspectives of beneficiaries/patients </w:t>
      </w:r>
    </w:p>
    <w:p w:rsidR="00517EDE" w:rsidRPr="00495DD0" w:rsidRDefault="00517EDE" w:rsidP="00517EDE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lang w:val="en-IN"/>
        </w:rPr>
      </w:pPr>
      <w:r w:rsidRPr="00495DD0">
        <w:rPr>
          <w:rFonts w:ascii="Arial" w:hAnsi="Arial" w:cs="Arial"/>
          <w:lang w:val="en-IN"/>
        </w:rPr>
        <w:t xml:space="preserve">Assess the continuum of care loop through referral services in terms of efficiency </w:t>
      </w:r>
    </w:p>
    <w:p w:rsidR="00517EDE" w:rsidRPr="00495DD0" w:rsidRDefault="00517EDE" w:rsidP="00517EDE">
      <w:pPr>
        <w:pStyle w:val="ListParagraph"/>
        <w:ind w:left="851"/>
        <w:jc w:val="both"/>
        <w:rPr>
          <w:rFonts w:ascii="Arial" w:hAnsi="Arial" w:cs="Arial"/>
        </w:rPr>
      </w:pPr>
    </w:p>
    <w:p w:rsidR="00517EDE" w:rsidRDefault="00517EDE" w:rsidP="00E16083">
      <w:pPr>
        <w:ind w:left="851"/>
        <w:jc w:val="both"/>
        <w:rPr>
          <w:rFonts w:ascii="Arial" w:hAnsi="Arial" w:cs="Arial"/>
        </w:rPr>
      </w:pPr>
    </w:p>
    <w:p w:rsidR="00AE35E2" w:rsidRDefault="00AE35E2" w:rsidP="00E16083">
      <w:pPr>
        <w:ind w:left="851"/>
        <w:jc w:val="both"/>
        <w:rPr>
          <w:rFonts w:ascii="Arial" w:hAnsi="Arial" w:cs="Arial"/>
        </w:rPr>
      </w:pPr>
    </w:p>
    <w:p w:rsidR="00495DD0" w:rsidRPr="00495DD0" w:rsidRDefault="00495DD0" w:rsidP="00E16083">
      <w:pPr>
        <w:ind w:left="851"/>
        <w:jc w:val="both"/>
        <w:rPr>
          <w:rFonts w:ascii="Arial" w:hAnsi="Arial" w:cs="Arial"/>
        </w:rPr>
      </w:pPr>
    </w:p>
    <w:p w:rsidR="00517EDE" w:rsidRPr="00495DD0" w:rsidRDefault="00517EDE" w:rsidP="0045258F">
      <w:pPr>
        <w:jc w:val="both"/>
        <w:rPr>
          <w:rFonts w:ascii="Arial" w:hAnsi="Arial" w:cs="Arial"/>
          <w:b/>
        </w:rPr>
      </w:pPr>
      <w:r w:rsidRPr="00495DD0">
        <w:rPr>
          <w:rFonts w:ascii="Arial" w:hAnsi="Arial" w:cs="Arial"/>
          <w:b/>
        </w:rPr>
        <w:lastRenderedPageBreak/>
        <w:t xml:space="preserve">Methodology </w:t>
      </w:r>
    </w:p>
    <w:p w:rsidR="00984350" w:rsidRPr="00495DD0" w:rsidRDefault="00984350" w:rsidP="0045258F">
      <w:pPr>
        <w:jc w:val="both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The beneficiary’s assessment will adopt </w:t>
      </w:r>
      <w:r w:rsidR="00C00153" w:rsidRPr="00495DD0">
        <w:rPr>
          <w:rFonts w:ascii="Arial" w:hAnsi="Arial" w:cs="Arial"/>
          <w:b/>
        </w:rPr>
        <w:t>SRS sampling methodology</w:t>
      </w:r>
      <w:r w:rsidR="00C00153" w:rsidRPr="00495DD0">
        <w:rPr>
          <w:rFonts w:ascii="Arial" w:hAnsi="Arial" w:cs="Arial"/>
        </w:rPr>
        <w:t>. The survey will be quantitative</w:t>
      </w:r>
      <w:r w:rsidRPr="00495DD0">
        <w:rPr>
          <w:rFonts w:ascii="Arial" w:hAnsi="Arial" w:cs="Arial"/>
        </w:rPr>
        <w:t xml:space="preserve">. A semi-structured quantitative tool will be used to conduct the study. The </w:t>
      </w:r>
      <w:r w:rsidR="001D3510" w:rsidRPr="00495DD0">
        <w:rPr>
          <w:rFonts w:ascii="Arial" w:hAnsi="Arial" w:cs="Arial"/>
        </w:rPr>
        <w:t>study will be conducted in a selected HWC and MMU in Uttarakhand</w:t>
      </w:r>
      <w:r w:rsidR="004D22B9" w:rsidRPr="00495DD0">
        <w:rPr>
          <w:rFonts w:ascii="Arial" w:hAnsi="Arial" w:cs="Arial"/>
        </w:rPr>
        <w:t>.  At least 50</w:t>
      </w:r>
      <w:r w:rsidRPr="00495DD0">
        <w:rPr>
          <w:rFonts w:ascii="Arial" w:hAnsi="Arial" w:cs="Arial"/>
        </w:rPr>
        <w:t xml:space="preserve"> interviews will be </w:t>
      </w:r>
      <w:r w:rsidR="00C00153" w:rsidRPr="00495DD0">
        <w:rPr>
          <w:rFonts w:ascii="Arial" w:hAnsi="Arial" w:cs="Arial"/>
        </w:rPr>
        <w:t xml:space="preserve">randomly selected </w:t>
      </w:r>
      <w:r w:rsidRPr="00495DD0">
        <w:rPr>
          <w:rFonts w:ascii="Arial" w:hAnsi="Arial" w:cs="Arial"/>
        </w:rPr>
        <w:t xml:space="preserve">after completion of teleconsultation from </w:t>
      </w:r>
      <w:r w:rsidR="001D3510" w:rsidRPr="00495DD0">
        <w:rPr>
          <w:rFonts w:ascii="Arial" w:hAnsi="Arial" w:cs="Arial"/>
        </w:rPr>
        <w:t>the HWC and MMU</w:t>
      </w:r>
      <w:r w:rsidR="004D22B9" w:rsidRPr="00495DD0">
        <w:rPr>
          <w:rFonts w:ascii="Arial" w:hAnsi="Arial" w:cs="Arial"/>
        </w:rPr>
        <w:t>. A total of 5</w:t>
      </w:r>
      <w:r w:rsidR="001D3510" w:rsidRPr="00495DD0">
        <w:rPr>
          <w:rFonts w:ascii="Arial" w:hAnsi="Arial" w:cs="Arial"/>
        </w:rPr>
        <w:t>0 patients</w:t>
      </w:r>
      <w:r w:rsidRPr="00495DD0">
        <w:rPr>
          <w:rFonts w:ascii="Arial" w:hAnsi="Arial" w:cs="Arial"/>
        </w:rPr>
        <w:t xml:space="preserve"> sample size has been planned to achieve.</w:t>
      </w:r>
    </w:p>
    <w:tbl>
      <w:tblPr>
        <w:tblStyle w:val="GridTable1LightAccent1"/>
        <w:tblW w:w="0" w:type="auto"/>
        <w:tblInd w:w="1343" w:type="dxa"/>
        <w:tblLook w:val="04A0"/>
      </w:tblPr>
      <w:tblGrid>
        <w:gridCol w:w="907"/>
        <w:gridCol w:w="3280"/>
        <w:gridCol w:w="3342"/>
      </w:tblGrid>
      <w:tr w:rsidR="001D3510" w:rsidRPr="00495DD0" w:rsidTr="008D6374">
        <w:trPr>
          <w:cnfStyle w:val="100000000000"/>
          <w:trHeight w:val="506"/>
        </w:trPr>
        <w:tc>
          <w:tcPr>
            <w:cnfStyle w:val="001000000000"/>
            <w:tcW w:w="907" w:type="dxa"/>
            <w:hideMark/>
          </w:tcPr>
          <w:p w:rsidR="001D3510" w:rsidRPr="00495DD0" w:rsidRDefault="001D3510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S.no</w:t>
            </w:r>
          </w:p>
        </w:tc>
        <w:tc>
          <w:tcPr>
            <w:tcW w:w="3280" w:type="dxa"/>
            <w:hideMark/>
          </w:tcPr>
          <w:p w:rsidR="001D3510" w:rsidRPr="00495DD0" w:rsidRDefault="00EB5B53">
            <w:pPr>
              <w:spacing w:line="240" w:lineRule="auto"/>
              <w:jc w:val="both"/>
              <w:cnfStyle w:val="1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Health Facility</w:t>
            </w:r>
          </w:p>
        </w:tc>
        <w:tc>
          <w:tcPr>
            <w:tcW w:w="3342" w:type="dxa"/>
            <w:hideMark/>
          </w:tcPr>
          <w:p w:rsidR="001D3510" w:rsidRPr="00495DD0" w:rsidRDefault="001D3510" w:rsidP="00EB5B53">
            <w:pPr>
              <w:spacing w:line="240" w:lineRule="auto"/>
              <w:jc w:val="both"/>
              <w:cnfStyle w:val="1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No of Interview of beneficiaries</w:t>
            </w:r>
          </w:p>
        </w:tc>
      </w:tr>
      <w:tr w:rsidR="001D3510" w:rsidRPr="00495DD0" w:rsidTr="008D6374">
        <w:trPr>
          <w:trHeight w:val="267"/>
        </w:trPr>
        <w:tc>
          <w:tcPr>
            <w:cnfStyle w:val="001000000000"/>
            <w:tcW w:w="907" w:type="dxa"/>
            <w:hideMark/>
          </w:tcPr>
          <w:p w:rsidR="001D3510" w:rsidRPr="00495DD0" w:rsidRDefault="001D3510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1</w:t>
            </w:r>
          </w:p>
        </w:tc>
        <w:tc>
          <w:tcPr>
            <w:tcW w:w="3280" w:type="dxa"/>
            <w:hideMark/>
          </w:tcPr>
          <w:p w:rsidR="001D3510" w:rsidRPr="00495DD0" w:rsidRDefault="001D3510">
            <w:pPr>
              <w:spacing w:line="240" w:lineRule="auto"/>
              <w:jc w:val="both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HWC</w:t>
            </w:r>
          </w:p>
        </w:tc>
        <w:tc>
          <w:tcPr>
            <w:tcW w:w="3342" w:type="dxa"/>
            <w:hideMark/>
          </w:tcPr>
          <w:p w:rsidR="001D3510" w:rsidRPr="00495DD0" w:rsidRDefault="00380EFE">
            <w:pPr>
              <w:spacing w:line="240" w:lineRule="auto"/>
              <w:jc w:val="both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25</w:t>
            </w:r>
          </w:p>
        </w:tc>
      </w:tr>
      <w:tr w:rsidR="001D3510" w:rsidRPr="00495DD0" w:rsidTr="008D6374">
        <w:trPr>
          <w:trHeight w:val="253"/>
        </w:trPr>
        <w:tc>
          <w:tcPr>
            <w:cnfStyle w:val="001000000000"/>
            <w:tcW w:w="907" w:type="dxa"/>
            <w:hideMark/>
          </w:tcPr>
          <w:p w:rsidR="001D3510" w:rsidRPr="00495DD0" w:rsidRDefault="001D3510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3280" w:type="dxa"/>
            <w:hideMark/>
          </w:tcPr>
          <w:p w:rsidR="001D3510" w:rsidRPr="00495DD0" w:rsidRDefault="001D3510">
            <w:pPr>
              <w:spacing w:line="240" w:lineRule="auto"/>
              <w:jc w:val="both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MMU</w:t>
            </w:r>
          </w:p>
        </w:tc>
        <w:tc>
          <w:tcPr>
            <w:tcW w:w="3342" w:type="dxa"/>
            <w:hideMark/>
          </w:tcPr>
          <w:p w:rsidR="001D3510" w:rsidRPr="00495DD0" w:rsidRDefault="00380EFE">
            <w:pPr>
              <w:spacing w:line="240" w:lineRule="auto"/>
              <w:jc w:val="both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25</w:t>
            </w:r>
          </w:p>
        </w:tc>
      </w:tr>
      <w:tr w:rsidR="001D3510" w:rsidRPr="00495DD0" w:rsidTr="008D6374">
        <w:trPr>
          <w:trHeight w:val="253"/>
        </w:trPr>
        <w:tc>
          <w:tcPr>
            <w:cnfStyle w:val="001000000000"/>
            <w:tcW w:w="907" w:type="dxa"/>
            <w:hideMark/>
          </w:tcPr>
          <w:p w:rsidR="001D3510" w:rsidRPr="00495DD0" w:rsidRDefault="001D3510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Total</w:t>
            </w:r>
          </w:p>
        </w:tc>
        <w:tc>
          <w:tcPr>
            <w:tcW w:w="3280" w:type="dxa"/>
            <w:hideMark/>
          </w:tcPr>
          <w:p w:rsidR="001D3510" w:rsidRPr="00495DD0" w:rsidRDefault="001D3510">
            <w:pPr>
              <w:spacing w:line="240" w:lineRule="auto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3342" w:type="dxa"/>
          </w:tcPr>
          <w:p w:rsidR="001D3510" w:rsidRPr="00495DD0" w:rsidRDefault="004D22B9">
            <w:pPr>
              <w:spacing w:line="240" w:lineRule="auto"/>
              <w:jc w:val="both"/>
              <w:cnfStyle w:val="000000000000"/>
              <w:rPr>
                <w:rFonts w:ascii="Arial" w:hAnsi="Arial" w:cs="Arial"/>
              </w:rPr>
            </w:pPr>
            <w:r w:rsidRPr="00495DD0">
              <w:rPr>
                <w:rFonts w:ascii="Arial" w:hAnsi="Arial" w:cs="Arial"/>
              </w:rPr>
              <w:t>50</w:t>
            </w:r>
          </w:p>
        </w:tc>
      </w:tr>
    </w:tbl>
    <w:p w:rsidR="00380EFE" w:rsidRPr="00495DD0" w:rsidRDefault="00380EFE" w:rsidP="00380EFE">
      <w:pPr>
        <w:pStyle w:val="ListParagraph"/>
        <w:jc w:val="both"/>
        <w:rPr>
          <w:rFonts w:ascii="Arial" w:hAnsi="Arial" w:cs="Arial"/>
        </w:rPr>
      </w:pPr>
    </w:p>
    <w:p w:rsidR="0045258F" w:rsidRPr="000F1D52" w:rsidRDefault="0045258F" w:rsidP="0045258F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/>
        </w:rPr>
      </w:pPr>
      <w:r w:rsidRPr="009C1C35">
        <w:rPr>
          <w:rFonts w:ascii="Arial" w:hAnsi="Arial" w:cs="Arial"/>
          <w:b/>
        </w:rPr>
        <w:t>Compensation</w:t>
      </w:r>
    </w:p>
    <w:p w:rsidR="0045258F" w:rsidRPr="00AE35E2" w:rsidRDefault="0045258F" w:rsidP="0045258F">
      <w:pPr>
        <w:jc w:val="both"/>
      </w:pPr>
      <w:r>
        <w:rPr>
          <w:rFonts w:ascii="Arial" w:hAnsi="Arial" w:cs="Arial"/>
        </w:rPr>
        <w:t xml:space="preserve">The Consultancy fee for this engagement is </w:t>
      </w:r>
      <w:r>
        <w:rPr>
          <w:rFonts w:ascii="Arial" w:hAnsi="Arial" w:cs="Arial"/>
          <w:bCs/>
        </w:rPr>
        <w:t>USD 5,000</w:t>
      </w:r>
      <w:r w:rsidRPr="00350403">
        <w:rPr>
          <w:rFonts w:ascii="Arial" w:hAnsi="Arial" w:cs="Arial"/>
          <w:b/>
          <w:bCs/>
        </w:rPr>
        <w:t xml:space="preserve"> </w:t>
      </w:r>
      <w:r w:rsidRPr="00350403">
        <w:rPr>
          <w:rFonts w:ascii="Arial" w:hAnsi="Arial" w:cs="Arial"/>
        </w:rPr>
        <w:t>(I</w:t>
      </w:r>
      <w:r>
        <w:rPr>
          <w:rFonts w:ascii="Arial" w:hAnsi="Arial" w:cs="Arial"/>
        </w:rPr>
        <w:t xml:space="preserve">nclusive of all indirect taxes). </w:t>
      </w:r>
      <w:r>
        <w:rPr>
          <w:rFonts w:ascii="Arial" w:hAnsi="Arial" w:cs="Arial"/>
          <w:color w:val="222222"/>
          <w:shd w:val="clear" w:color="auto" w:fill="FFFFFF"/>
        </w:rPr>
        <w:t xml:space="preserve">The payment will be disbursed in three instalments, </w:t>
      </w:r>
      <w:r w:rsidRPr="00AE35E2">
        <w:rPr>
          <w:rFonts w:ascii="Arial" w:hAnsi="Arial" w:cs="Arial"/>
        </w:rPr>
        <w:t xml:space="preserve">in the proportions given below </w:t>
      </w:r>
      <w:r w:rsidR="00AE35E2" w:rsidRPr="00AE35E2">
        <w:rPr>
          <w:rFonts w:ascii="Arial" w:hAnsi="Arial" w:cs="Arial"/>
        </w:rPr>
        <w:t>and the consultant should provide the invoice against each deliverable.</w:t>
      </w:r>
      <w:r w:rsidR="00AE35E2" w:rsidRPr="00350403">
        <w:t xml:space="preserve"> </w:t>
      </w:r>
    </w:p>
    <w:tbl>
      <w:tblPr>
        <w:tblW w:w="8000" w:type="dxa"/>
        <w:tblCellMar>
          <w:left w:w="0" w:type="dxa"/>
          <w:right w:w="0" w:type="dxa"/>
        </w:tblCellMar>
        <w:tblLook w:val="04A0"/>
      </w:tblPr>
      <w:tblGrid>
        <w:gridCol w:w="1192"/>
        <w:gridCol w:w="1217"/>
        <w:gridCol w:w="954"/>
        <w:gridCol w:w="4637"/>
      </w:tblGrid>
      <w:tr w:rsidR="0045258F" w:rsidRPr="000F1D52" w:rsidTr="001D7AC2">
        <w:trPr>
          <w:trHeight w:val="57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b/>
                <w:bCs/>
                <w:color w:val="000000"/>
              </w:rPr>
              <w:t>Instalment 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b/>
                <w:bCs/>
                <w:color w:val="000000"/>
              </w:rPr>
              <w:t>Amount (USD)</w:t>
            </w:r>
          </w:p>
        </w:tc>
        <w:tc>
          <w:tcPr>
            <w:tcW w:w="4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b/>
                <w:bCs/>
                <w:color w:val="000000"/>
              </w:rPr>
              <w:t>Deliverable/ Milestone </w:t>
            </w:r>
          </w:p>
        </w:tc>
      </w:tr>
      <w:tr w:rsidR="0045258F" w:rsidRPr="000F1D52" w:rsidTr="001D7AC2">
        <w:trPr>
          <w:trHeight w:val="288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1250</w:t>
            </w:r>
          </w:p>
        </w:tc>
        <w:tc>
          <w:tcPr>
            <w:tcW w:w="4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On Signing Contract </w:t>
            </w:r>
          </w:p>
        </w:tc>
      </w:tr>
      <w:tr w:rsidR="0045258F" w:rsidRPr="000F1D52" w:rsidTr="001D7AC2">
        <w:trPr>
          <w:trHeight w:val="864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1250</w:t>
            </w:r>
          </w:p>
        </w:tc>
        <w:tc>
          <w:tcPr>
            <w:tcW w:w="4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On submission of literature review and methodology (including stakeholders for a qualitative interview and analysis plan) approved by the Mentor, and</w:t>
            </w:r>
          </w:p>
        </w:tc>
      </w:tr>
      <w:tr w:rsidR="0045258F" w:rsidRPr="000F1D52" w:rsidTr="001D7AC2">
        <w:trPr>
          <w:trHeight w:val="576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2500</w:t>
            </w:r>
          </w:p>
        </w:tc>
        <w:tc>
          <w:tcPr>
            <w:tcW w:w="4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258F" w:rsidRPr="000F1D52" w:rsidRDefault="0045258F" w:rsidP="001D7A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D52">
              <w:rPr>
                <w:rFonts w:ascii="Arial" w:eastAsia="Times New Roman" w:hAnsi="Arial" w:cs="Arial"/>
                <w:color w:val="000000"/>
              </w:rPr>
              <w:t>On submission of the final deliverable approved and accepted by the Mentor &amp; AHI Team.  </w:t>
            </w:r>
          </w:p>
        </w:tc>
      </w:tr>
    </w:tbl>
    <w:p w:rsidR="0045258F" w:rsidRDefault="0045258F" w:rsidP="0045258F">
      <w:pPr>
        <w:jc w:val="both"/>
        <w:rPr>
          <w:rFonts w:ascii="Arial" w:hAnsi="Arial" w:cs="Arial"/>
          <w:b/>
        </w:rPr>
      </w:pPr>
    </w:p>
    <w:p w:rsidR="0045258F" w:rsidRPr="000F1D52" w:rsidRDefault="0045258F" w:rsidP="0045258F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  <w:b/>
        </w:rPr>
        <w:t>Term</w:t>
      </w:r>
    </w:p>
    <w:p w:rsidR="0045258F" w:rsidRDefault="0045258F" w:rsidP="0045258F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>September 15, 2021</w:t>
      </w:r>
      <w:r w:rsidRPr="008B2D8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December 15, 2021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45258F" w:rsidRPr="009C1C35" w:rsidRDefault="0045258F" w:rsidP="0045258F">
      <w:pPr>
        <w:jc w:val="both"/>
        <w:rPr>
          <w:rFonts w:ascii="Arial" w:hAnsi="Arial" w:cs="Arial"/>
        </w:rPr>
      </w:pPr>
    </w:p>
    <w:p w:rsidR="0045258F" w:rsidRPr="000F1D52" w:rsidRDefault="0045258F" w:rsidP="0045258F">
      <w:pPr>
        <w:pStyle w:val="ListParagraph"/>
        <w:jc w:val="both"/>
        <w:rPr>
          <w:rFonts w:ascii="Arial" w:hAnsi="Arial" w:cs="Arial"/>
        </w:rPr>
      </w:pPr>
    </w:p>
    <w:p w:rsidR="0045258F" w:rsidRPr="000F1D52" w:rsidRDefault="0045258F" w:rsidP="0045258F">
      <w:pPr>
        <w:pStyle w:val="ListParagraph"/>
        <w:rPr>
          <w:rFonts w:ascii="Arial" w:hAnsi="Arial" w:cs="Arial"/>
        </w:rPr>
      </w:pPr>
    </w:p>
    <w:p w:rsidR="0045258F" w:rsidRPr="000F1D52" w:rsidRDefault="0045258F" w:rsidP="0045258F">
      <w:pPr>
        <w:pStyle w:val="ListParagraph"/>
        <w:jc w:val="both"/>
        <w:rPr>
          <w:rFonts w:ascii="Arial" w:hAnsi="Arial" w:cs="Arial"/>
        </w:rPr>
      </w:pPr>
    </w:p>
    <w:p w:rsidR="0045258F" w:rsidRPr="000F1D52" w:rsidRDefault="0045258F" w:rsidP="0045258F">
      <w:pPr>
        <w:pStyle w:val="ListParagraph"/>
        <w:ind w:left="1080"/>
        <w:jc w:val="both"/>
        <w:rPr>
          <w:rFonts w:ascii="Arial" w:hAnsi="Arial" w:cs="Arial"/>
        </w:rPr>
      </w:pPr>
    </w:p>
    <w:p w:rsidR="00380EFE" w:rsidRPr="00495DD0" w:rsidRDefault="00380EFE" w:rsidP="00380EFE">
      <w:pPr>
        <w:pStyle w:val="ListParagraph"/>
        <w:jc w:val="both"/>
        <w:rPr>
          <w:rFonts w:ascii="Arial" w:hAnsi="Arial" w:cs="Arial"/>
        </w:rPr>
      </w:pPr>
    </w:p>
    <w:sectPr w:rsidR="00380EFE" w:rsidRPr="00495DD0" w:rsidSect="007D18F3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45E" w:rsidRDefault="00D5745E" w:rsidP="007D18F3">
      <w:pPr>
        <w:spacing w:after="0" w:line="240" w:lineRule="auto"/>
      </w:pPr>
      <w:r>
        <w:separator/>
      </w:r>
    </w:p>
  </w:endnote>
  <w:endnote w:type="continuationSeparator" w:id="1">
    <w:p w:rsidR="00D5745E" w:rsidRDefault="00D5745E" w:rsidP="007D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D8" w:rsidRDefault="00A133D8">
    <w:pPr>
      <w:pStyle w:val="Footer"/>
      <w:jc w:val="right"/>
    </w:pPr>
  </w:p>
  <w:p w:rsidR="00A133D8" w:rsidRDefault="00A133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45E" w:rsidRDefault="00D5745E" w:rsidP="007D18F3">
      <w:pPr>
        <w:spacing w:after="0" w:line="240" w:lineRule="auto"/>
      </w:pPr>
      <w:r>
        <w:separator/>
      </w:r>
    </w:p>
  </w:footnote>
  <w:footnote w:type="continuationSeparator" w:id="1">
    <w:p w:rsidR="00D5745E" w:rsidRDefault="00D5745E" w:rsidP="007D1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6CD"/>
    <w:multiLevelType w:val="hybridMultilevel"/>
    <w:tmpl w:val="5DAE6A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0F0985"/>
    <w:multiLevelType w:val="multilevel"/>
    <w:tmpl w:val="ACF0F3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1456546C"/>
    <w:multiLevelType w:val="hybridMultilevel"/>
    <w:tmpl w:val="BA34D4D6"/>
    <w:lvl w:ilvl="0" w:tplc="0674EE46">
      <w:start w:val="1"/>
      <w:numFmt w:val="decimal"/>
      <w:lvlText w:val="%1."/>
      <w:lvlJc w:val="left"/>
      <w:pPr>
        <w:ind w:left="927" w:hanging="360"/>
      </w:pPr>
      <w:rPr>
        <w:rFonts w:ascii="Calibri" w:hAnsi="Calibri" w:hint="default"/>
        <w:color w:val="1F4E79" w:themeColor="accent1" w:themeShade="80"/>
        <w:sz w:val="28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6B66D42"/>
    <w:multiLevelType w:val="hybridMultilevel"/>
    <w:tmpl w:val="A90E33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612D6"/>
    <w:multiLevelType w:val="hybridMultilevel"/>
    <w:tmpl w:val="8BF478D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A8350E1"/>
    <w:multiLevelType w:val="hybridMultilevel"/>
    <w:tmpl w:val="0BDC31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130C92"/>
    <w:multiLevelType w:val="hybridMultilevel"/>
    <w:tmpl w:val="DA78B0F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EB11431"/>
    <w:multiLevelType w:val="hybridMultilevel"/>
    <w:tmpl w:val="90325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E2BB8"/>
    <w:multiLevelType w:val="multilevel"/>
    <w:tmpl w:val="F9167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92B237D"/>
    <w:multiLevelType w:val="hybridMultilevel"/>
    <w:tmpl w:val="41921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E538D"/>
    <w:multiLevelType w:val="hybridMultilevel"/>
    <w:tmpl w:val="0C102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E4D69"/>
    <w:multiLevelType w:val="hybridMultilevel"/>
    <w:tmpl w:val="DC8214A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F6E3CC5"/>
    <w:multiLevelType w:val="hybridMultilevel"/>
    <w:tmpl w:val="80FA9CD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0777A5C"/>
    <w:multiLevelType w:val="hybridMultilevel"/>
    <w:tmpl w:val="C83E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D7055"/>
    <w:multiLevelType w:val="hybridMultilevel"/>
    <w:tmpl w:val="7F208BB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DC72A1"/>
    <w:multiLevelType w:val="hybridMultilevel"/>
    <w:tmpl w:val="0D7A6802"/>
    <w:lvl w:ilvl="0" w:tplc="A06259F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1F3864" w:themeColor="accent5" w:themeShade="8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FA298F"/>
    <w:multiLevelType w:val="hybridMultilevel"/>
    <w:tmpl w:val="39D86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867BF"/>
    <w:multiLevelType w:val="multilevel"/>
    <w:tmpl w:val="66C88B10"/>
    <w:lvl w:ilvl="0">
      <w:start w:val="1"/>
      <w:numFmt w:val="decimal"/>
      <w:lvlText w:val="%1."/>
      <w:lvlJc w:val="left"/>
      <w:pPr>
        <w:ind w:left="972" w:hanging="405"/>
      </w:pPr>
      <w:rPr>
        <w:rFonts w:hint="default"/>
        <w:b/>
        <w:color w:val="1F4E79" w:themeColor="accent1" w:themeShade="80"/>
        <w:sz w:val="32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  <w:color w:val="1F4E79" w:themeColor="accent1" w:themeShade="80"/>
        <w:sz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hint="default"/>
      </w:rPr>
    </w:lvl>
  </w:abstractNum>
  <w:abstractNum w:abstractNumId="18">
    <w:nsid w:val="38096044"/>
    <w:multiLevelType w:val="hybridMultilevel"/>
    <w:tmpl w:val="A0B81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443E80"/>
    <w:multiLevelType w:val="hybridMultilevel"/>
    <w:tmpl w:val="EE2A5C92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93B56AA"/>
    <w:multiLevelType w:val="hybridMultilevel"/>
    <w:tmpl w:val="D99CD5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CE5911"/>
    <w:multiLevelType w:val="hybridMultilevel"/>
    <w:tmpl w:val="3A7E864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3C584228"/>
    <w:multiLevelType w:val="hybridMultilevel"/>
    <w:tmpl w:val="795ADF3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AB3143"/>
    <w:multiLevelType w:val="hybridMultilevel"/>
    <w:tmpl w:val="1C706E32"/>
    <w:lvl w:ilvl="0" w:tplc="F7D2B5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37B1416"/>
    <w:multiLevelType w:val="multilevel"/>
    <w:tmpl w:val="D7765A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1F4E79" w:themeColor="accent1" w:themeShade="80"/>
        <w:sz w:val="3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AD7398"/>
    <w:multiLevelType w:val="hybridMultilevel"/>
    <w:tmpl w:val="C40C7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91655"/>
    <w:multiLevelType w:val="hybridMultilevel"/>
    <w:tmpl w:val="C9EE3D74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4AAE3E05"/>
    <w:multiLevelType w:val="hybridMultilevel"/>
    <w:tmpl w:val="02584488"/>
    <w:lvl w:ilvl="0" w:tplc="76923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E6F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2A3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66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489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2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EA5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4CA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922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ACD6C35"/>
    <w:multiLevelType w:val="hybridMultilevel"/>
    <w:tmpl w:val="FF920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6239E8"/>
    <w:multiLevelType w:val="hybridMultilevel"/>
    <w:tmpl w:val="77C4FF5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4F401100"/>
    <w:multiLevelType w:val="hybridMultilevel"/>
    <w:tmpl w:val="E1DEB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093367"/>
    <w:multiLevelType w:val="hybridMultilevel"/>
    <w:tmpl w:val="74729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7E3BC9"/>
    <w:multiLevelType w:val="hybridMultilevel"/>
    <w:tmpl w:val="B5E46EB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8C22D83"/>
    <w:multiLevelType w:val="hybridMultilevel"/>
    <w:tmpl w:val="917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859F0"/>
    <w:multiLevelType w:val="hybridMultilevel"/>
    <w:tmpl w:val="4E1ABA7A"/>
    <w:lvl w:ilvl="0" w:tplc="922AE05E">
      <w:start w:val="3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  <w:sz w:val="32"/>
      </w:rPr>
    </w:lvl>
    <w:lvl w:ilvl="1" w:tplc="81063F5C">
      <w:start w:val="1"/>
      <w:numFmt w:val="lowerLetter"/>
      <w:lvlText w:val="%2."/>
      <w:lvlJc w:val="left"/>
      <w:pPr>
        <w:ind w:left="1440" w:hanging="360"/>
      </w:pPr>
      <w:rPr>
        <w:color w:val="1F4E79" w:themeColor="accent1" w:themeShade="8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333EE"/>
    <w:multiLevelType w:val="multilevel"/>
    <w:tmpl w:val="E62478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>
    <w:nsid w:val="75AD4C7C"/>
    <w:multiLevelType w:val="hybridMultilevel"/>
    <w:tmpl w:val="F53C9C6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5"/>
  </w:num>
  <w:num w:numId="4">
    <w:abstractNumId w:val="31"/>
  </w:num>
  <w:num w:numId="5">
    <w:abstractNumId w:val="20"/>
  </w:num>
  <w:num w:numId="6">
    <w:abstractNumId w:val="26"/>
  </w:num>
  <w:num w:numId="7">
    <w:abstractNumId w:val="6"/>
  </w:num>
  <w:num w:numId="8">
    <w:abstractNumId w:val="7"/>
  </w:num>
  <w:num w:numId="9">
    <w:abstractNumId w:val="27"/>
  </w:num>
  <w:num w:numId="10">
    <w:abstractNumId w:val="18"/>
  </w:num>
  <w:num w:numId="11">
    <w:abstractNumId w:val="0"/>
  </w:num>
  <w:num w:numId="12">
    <w:abstractNumId w:val="9"/>
  </w:num>
  <w:num w:numId="13">
    <w:abstractNumId w:val="33"/>
  </w:num>
  <w:num w:numId="14">
    <w:abstractNumId w:val="13"/>
  </w:num>
  <w:num w:numId="15">
    <w:abstractNumId w:val="16"/>
  </w:num>
  <w:num w:numId="16">
    <w:abstractNumId w:val="10"/>
  </w:num>
  <w:num w:numId="17">
    <w:abstractNumId w:val="11"/>
  </w:num>
  <w:num w:numId="18">
    <w:abstractNumId w:val="29"/>
  </w:num>
  <w:num w:numId="19">
    <w:abstractNumId w:val="21"/>
  </w:num>
  <w:num w:numId="20">
    <w:abstractNumId w:val="28"/>
  </w:num>
  <w:num w:numId="21">
    <w:abstractNumId w:val="5"/>
  </w:num>
  <w:num w:numId="22">
    <w:abstractNumId w:val="14"/>
  </w:num>
  <w:num w:numId="23">
    <w:abstractNumId w:val="24"/>
  </w:num>
  <w:num w:numId="24">
    <w:abstractNumId w:val="1"/>
  </w:num>
  <w:num w:numId="25">
    <w:abstractNumId w:val="22"/>
  </w:num>
  <w:num w:numId="26">
    <w:abstractNumId w:val="30"/>
  </w:num>
  <w:num w:numId="27">
    <w:abstractNumId w:val="8"/>
  </w:num>
  <w:num w:numId="28">
    <w:abstractNumId w:val="2"/>
  </w:num>
  <w:num w:numId="29">
    <w:abstractNumId w:val="35"/>
  </w:num>
  <w:num w:numId="30">
    <w:abstractNumId w:val="12"/>
  </w:num>
  <w:num w:numId="31">
    <w:abstractNumId w:val="19"/>
  </w:num>
  <w:num w:numId="32">
    <w:abstractNumId w:val="4"/>
  </w:num>
  <w:num w:numId="33">
    <w:abstractNumId w:val="3"/>
  </w:num>
  <w:num w:numId="34">
    <w:abstractNumId w:val="34"/>
  </w:num>
  <w:num w:numId="35">
    <w:abstractNumId w:val="32"/>
  </w:num>
  <w:num w:numId="36">
    <w:abstractNumId w:val="36"/>
  </w:num>
  <w:num w:numId="37">
    <w:abstractNumId w:val="1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350"/>
    <w:rsid w:val="00007287"/>
    <w:rsid w:val="00030C68"/>
    <w:rsid w:val="00075F6D"/>
    <w:rsid w:val="000771D3"/>
    <w:rsid w:val="0008629B"/>
    <w:rsid w:val="000B3E30"/>
    <w:rsid w:val="000B71C7"/>
    <w:rsid w:val="000E4526"/>
    <w:rsid w:val="000E7440"/>
    <w:rsid w:val="000E7A30"/>
    <w:rsid w:val="0012144C"/>
    <w:rsid w:val="00124963"/>
    <w:rsid w:val="0015037C"/>
    <w:rsid w:val="001574BC"/>
    <w:rsid w:val="00180C86"/>
    <w:rsid w:val="001A1B20"/>
    <w:rsid w:val="001D27F7"/>
    <w:rsid w:val="001D3377"/>
    <w:rsid w:val="001D3510"/>
    <w:rsid w:val="001F2E39"/>
    <w:rsid w:val="00201A82"/>
    <w:rsid w:val="002156D4"/>
    <w:rsid w:val="00215E49"/>
    <w:rsid w:val="00243584"/>
    <w:rsid w:val="00277723"/>
    <w:rsid w:val="00280C19"/>
    <w:rsid w:val="00295FD4"/>
    <w:rsid w:val="002A027C"/>
    <w:rsid w:val="002D2026"/>
    <w:rsid w:val="002D7B32"/>
    <w:rsid w:val="002E24D5"/>
    <w:rsid w:val="002F20D5"/>
    <w:rsid w:val="002F5C10"/>
    <w:rsid w:val="00334A99"/>
    <w:rsid w:val="00351AE9"/>
    <w:rsid w:val="003576B4"/>
    <w:rsid w:val="00372E70"/>
    <w:rsid w:val="00380EFE"/>
    <w:rsid w:val="003A3FA2"/>
    <w:rsid w:val="003E0CEF"/>
    <w:rsid w:val="00400AB0"/>
    <w:rsid w:val="004020FD"/>
    <w:rsid w:val="0041500D"/>
    <w:rsid w:val="0045258F"/>
    <w:rsid w:val="00492906"/>
    <w:rsid w:val="00495DD0"/>
    <w:rsid w:val="004B5224"/>
    <w:rsid w:val="004C0F1C"/>
    <w:rsid w:val="004C394F"/>
    <w:rsid w:val="004D22B9"/>
    <w:rsid w:val="00512576"/>
    <w:rsid w:val="00517EDE"/>
    <w:rsid w:val="005220B2"/>
    <w:rsid w:val="00531826"/>
    <w:rsid w:val="005A0A70"/>
    <w:rsid w:val="005C06B5"/>
    <w:rsid w:val="006072AC"/>
    <w:rsid w:val="006D670C"/>
    <w:rsid w:val="006F6215"/>
    <w:rsid w:val="00707879"/>
    <w:rsid w:val="00760C4B"/>
    <w:rsid w:val="007743D7"/>
    <w:rsid w:val="007769E6"/>
    <w:rsid w:val="00784AB9"/>
    <w:rsid w:val="007A51FE"/>
    <w:rsid w:val="007A67B1"/>
    <w:rsid w:val="007B3F2F"/>
    <w:rsid w:val="007C02E6"/>
    <w:rsid w:val="007D18F3"/>
    <w:rsid w:val="007D54CE"/>
    <w:rsid w:val="007E642E"/>
    <w:rsid w:val="007F09C6"/>
    <w:rsid w:val="007F64E9"/>
    <w:rsid w:val="0081489D"/>
    <w:rsid w:val="00854B80"/>
    <w:rsid w:val="00866CA9"/>
    <w:rsid w:val="008736D3"/>
    <w:rsid w:val="00875FDA"/>
    <w:rsid w:val="00895475"/>
    <w:rsid w:val="008A66F7"/>
    <w:rsid w:val="008B4EBA"/>
    <w:rsid w:val="008B5B3C"/>
    <w:rsid w:val="008D0296"/>
    <w:rsid w:val="008D6374"/>
    <w:rsid w:val="00915CD2"/>
    <w:rsid w:val="00945768"/>
    <w:rsid w:val="00965E17"/>
    <w:rsid w:val="00984350"/>
    <w:rsid w:val="009A07F0"/>
    <w:rsid w:val="009A6658"/>
    <w:rsid w:val="009C07BD"/>
    <w:rsid w:val="009C26F4"/>
    <w:rsid w:val="009F1049"/>
    <w:rsid w:val="00A023A2"/>
    <w:rsid w:val="00A04D67"/>
    <w:rsid w:val="00A133D8"/>
    <w:rsid w:val="00A24C2E"/>
    <w:rsid w:val="00A4089C"/>
    <w:rsid w:val="00A54632"/>
    <w:rsid w:val="00A618EB"/>
    <w:rsid w:val="00A61E4F"/>
    <w:rsid w:val="00A61F15"/>
    <w:rsid w:val="00A93BBD"/>
    <w:rsid w:val="00A93FE6"/>
    <w:rsid w:val="00A9775E"/>
    <w:rsid w:val="00AA508E"/>
    <w:rsid w:val="00AB32B7"/>
    <w:rsid w:val="00AD688C"/>
    <w:rsid w:val="00AE0639"/>
    <w:rsid w:val="00AE166A"/>
    <w:rsid w:val="00AE35E2"/>
    <w:rsid w:val="00AE7BEE"/>
    <w:rsid w:val="00B04BCC"/>
    <w:rsid w:val="00B06400"/>
    <w:rsid w:val="00B205C6"/>
    <w:rsid w:val="00B56CE6"/>
    <w:rsid w:val="00BB1F28"/>
    <w:rsid w:val="00BB690E"/>
    <w:rsid w:val="00BE164A"/>
    <w:rsid w:val="00C00153"/>
    <w:rsid w:val="00C0252C"/>
    <w:rsid w:val="00C23308"/>
    <w:rsid w:val="00C2786C"/>
    <w:rsid w:val="00C6572B"/>
    <w:rsid w:val="00C779E8"/>
    <w:rsid w:val="00C922CA"/>
    <w:rsid w:val="00CC4653"/>
    <w:rsid w:val="00CE573A"/>
    <w:rsid w:val="00CE7EC5"/>
    <w:rsid w:val="00D4353E"/>
    <w:rsid w:val="00D51738"/>
    <w:rsid w:val="00D56404"/>
    <w:rsid w:val="00D5745E"/>
    <w:rsid w:val="00D65647"/>
    <w:rsid w:val="00D726DE"/>
    <w:rsid w:val="00DE089E"/>
    <w:rsid w:val="00DE315E"/>
    <w:rsid w:val="00DE521E"/>
    <w:rsid w:val="00E16083"/>
    <w:rsid w:val="00E57564"/>
    <w:rsid w:val="00E66B8F"/>
    <w:rsid w:val="00E762AD"/>
    <w:rsid w:val="00E8709A"/>
    <w:rsid w:val="00EB5B53"/>
    <w:rsid w:val="00EE47B5"/>
    <w:rsid w:val="00EE5542"/>
    <w:rsid w:val="00F0740A"/>
    <w:rsid w:val="00F152AE"/>
    <w:rsid w:val="00F4033A"/>
    <w:rsid w:val="00F45938"/>
    <w:rsid w:val="00F50ED1"/>
    <w:rsid w:val="00F6647D"/>
    <w:rsid w:val="00F66A02"/>
    <w:rsid w:val="00F745E1"/>
    <w:rsid w:val="00F81F5E"/>
    <w:rsid w:val="00F86B02"/>
    <w:rsid w:val="00FA4432"/>
    <w:rsid w:val="00FB539E"/>
    <w:rsid w:val="00FC2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50"/>
    <w:pPr>
      <w:spacing w:line="25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06"/>
    <w:pPr>
      <w:keepNext/>
      <w:keepLines/>
      <w:spacing w:before="40" w:after="0" w:line="360" w:lineRule="auto"/>
      <w:ind w:left="101"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bullets,Resume Title,Bullet List,FooterText,List with no spacing,HEAD 3,Table bullet,List Paragraph1,Colorful List Accent 1,Colorful List - Accent 11,MCHIP_list paragraph,Recommendation,Colorful List - Accent 111,numbered,列出段落"/>
    <w:basedOn w:val="Normal"/>
    <w:link w:val="ListParagraphChar"/>
    <w:uiPriority w:val="34"/>
    <w:qFormat/>
    <w:rsid w:val="00984350"/>
    <w:pPr>
      <w:ind w:left="720"/>
      <w:contextualSpacing/>
    </w:pPr>
  </w:style>
  <w:style w:type="table" w:styleId="TableGrid">
    <w:name w:val="Table Grid"/>
    <w:basedOn w:val="TableNormal"/>
    <w:uiPriority w:val="59"/>
    <w:rsid w:val="00984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-frontpage">
    <w:name w:val="subtitle-frontpage"/>
    <w:basedOn w:val="Normal"/>
    <w:next w:val="front-inbetween"/>
    <w:rsid w:val="003A3FA2"/>
    <w:pPr>
      <w:spacing w:after="0" w:line="720" w:lineRule="atLeast"/>
    </w:pPr>
    <w:rPr>
      <w:rFonts w:ascii="Arial" w:eastAsia="Times New Roman" w:hAnsi="Arial"/>
      <w:color w:val="A0A5A5"/>
      <w:sz w:val="44"/>
      <w:szCs w:val="24"/>
      <w:lang w:val="en-GB" w:eastAsia="nl-NL"/>
    </w:rPr>
  </w:style>
  <w:style w:type="paragraph" w:customStyle="1" w:styleId="refdata-frontpage">
    <w:name w:val="refdata-frontpage"/>
    <w:basedOn w:val="Normal"/>
    <w:rsid w:val="003A3FA2"/>
    <w:pPr>
      <w:spacing w:after="0" w:line="560" w:lineRule="atLeast"/>
    </w:pPr>
    <w:rPr>
      <w:rFonts w:ascii="Arial" w:eastAsia="Times New Roman" w:hAnsi="Arial"/>
      <w:color w:val="003C64"/>
      <w:szCs w:val="24"/>
      <w:lang w:val="en-GB" w:eastAsia="nl-NL"/>
    </w:rPr>
  </w:style>
  <w:style w:type="paragraph" w:customStyle="1" w:styleId="front-inbetween">
    <w:name w:val="front-inbetween"/>
    <w:basedOn w:val="Normal"/>
    <w:next w:val="refdata-frontpage"/>
    <w:rsid w:val="003A3FA2"/>
    <w:pPr>
      <w:spacing w:after="0" w:line="320" w:lineRule="atLeast"/>
    </w:pPr>
    <w:rPr>
      <w:rFonts w:ascii="Arial" w:eastAsia="Times New Roman" w:hAnsi="Arial"/>
      <w:sz w:val="21"/>
      <w:szCs w:val="24"/>
      <w:lang w:val="en-GB" w:eastAsia="nl-NL"/>
    </w:rPr>
  </w:style>
  <w:style w:type="paragraph" w:customStyle="1" w:styleId="Body">
    <w:name w:val="Body"/>
    <w:rsid w:val="003A3FA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IN"/>
    </w:rPr>
  </w:style>
  <w:style w:type="paragraph" w:customStyle="1" w:styleId="Heading1a">
    <w:name w:val="Heading 1a"/>
    <w:rsid w:val="003A3FA2"/>
    <w:pPr>
      <w:keepNext/>
      <w:keepLines/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32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3A3FA2"/>
    <w:pPr>
      <w:tabs>
        <w:tab w:val="left" w:pos="340"/>
        <w:tab w:val="left" w:pos="720"/>
        <w:tab w:val="right" w:pos="7938"/>
        <w:tab w:val="right" w:leader="dot" w:pos="9638"/>
      </w:tabs>
      <w:spacing w:before="280" w:after="0" w:line="280" w:lineRule="atLeast"/>
    </w:pPr>
    <w:rPr>
      <w:rFonts w:ascii="Arial" w:eastAsia="Times New Roman" w:hAnsi="Arial"/>
      <w:noProof/>
      <w:color w:val="1F4E79" w:themeColor="accent1" w:themeShade="80"/>
      <w:sz w:val="21"/>
      <w:szCs w:val="24"/>
      <w:lang w:val="en-GB" w:eastAsia="nl-NL"/>
    </w:rPr>
  </w:style>
  <w:style w:type="paragraph" w:styleId="TOC2">
    <w:name w:val="toc 2"/>
    <w:basedOn w:val="Normal"/>
    <w:next w:val="Normal"/>
    <w:autoRedefine/>
    <w:uiPriority w:val="39"/>
    <w:qFormat/>
    <w:rsid w:val="00A93BBD"/>
    <w:pPr>
      <w:tabs>
        <w:tab w:val="left" w:pos="340"/>
        <w:tab w:val="left" w:pos="1021"/>
        <w:tab w:val="right" w:pos="7938"/>
        <w:tab w:val="right" w:leader="dot" w:pos="9638"/>
      </w:tabs>
      <w:spacing w:after="0" w:line="280" w:lineRule="atLeast"/>
    </w:pPr>
    <w:rPr>
      <w:rFonts w:ascii="Arial" w:eastAsia="Times New Roman" w:hAnsi="Arial"/>
      <w:noProof/>
      <w:sz w:val="21"/>
      <w:szCs w:val="24"/>
      <w:lang w:val="en-GB" w:eastAsia="nl-NL"/>
    </w:rPr>
  </w:style>
  <w:style w:type="character" w:styleId="Hyperlink">
    <w:name w:val="Hyperlink"/>
    <w:uiPriority w:val="99"/>
    <w:unhideWhenUsed/>
    <w:rsid w:val="003A3F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3F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FA2"/>
    <w:pPr>
      <w:spacing w:line="280" w:lineRule="atLeast"/>
      <w:outlineLvl w:val="9"/>
    </w:pPr>
    <w:rPr>
      <w:lang w:val="en-GB" w:eastAsia="nl-NL"/>
    </w:rPr>
  </w:style>
  <w:style w:type="character" w:customStyle="1" w:styleId="ListParagraphChar">
    <w:name w:val="List Paragraph Char"/>
    <w:aliases w:val="Bullets Char,bullets Char,Resume Title Char,Bullet List Char,FooterText Char,List with no spacing Char,HEAD 3 Char,Table bullet Char,List Paragraph1 Char,Colorful List Accent 1 Char,Colorful List - Accent 11 Char,Recommendation Char"/>
    <w:link w:val="ListParagraph"/>
    <w:uiPriority w:val="34"/>
    <w:qFormat/>
    <w:rsid w:val="00CE7EC5"/>
    <w:rPr>
      <w:rFonts w:ascii="Calibri" w:eastAsia="Calibri" w:hAnsi="Calibri" w:cs="Times New Roman"/>
      <w:lang w:val="en-US"/>
    </w:rPr>
  </w:style>
  <w:style w:type="table" w:customStyle="1" w:styleId="GridTable4Accent5">
    <w:name w:val="Grid Table 4 Accent 5"/>
    <w:basedOn w:val="TableNormal"/>
    <w:uiPriority w:val="49"/>
    <w:rsid w:val="00C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89547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/>
    </w:rPr>
  </w:style>
  <w:style w:type="paragraph" w:customStyle="1" w:styleId="Default">
    <w:name w:val="Default"/>
    <w:link w:val="DefaultChar"/>
    <w:rsid w:val="007F09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DefaultChar">
    <w:name w:val="Default Char"/>
    <w:basedOn w:val="DefaultParagraphFont"/>
    <w:link w:val="Default"/>
    <w:locked/>
    <w:rsid w:val="007F09C6"/>
    <w:rPr>
      <w:rFonts w:ascii="Arial" w:hAnsi="Arial" w:cs="Arial"/>
      <w:color w:val="000000"/>
      <w:sz w:val="24"/>
      <w:szCs w:val="24"/>
      <w:lang w:val="en-US"/>
    </w:rPr>
  </w:style>
  <w:style w:type="paragraph" w:customStyle="1" w:styleId="Normal1">
    <w:name w:val="Normal1"/>
    <w:rsid w:val="007F64E9"/>
    <w:pPr>
      <w:spacing w:after="0" w:line="276" w:lineRule="auto"/>
    </w:pPr>
    <w:rPr>
      <w:rFonts w:ascii="Arial" w:eastAsia="Arial" w:hAnsi="Arial" w:cs="Arial"/>
    </w:rPr>
  </w:style>
  <w:style w:type="table" w:customStyle="1" w:styleId="TableGrid0">
    <w:name w:val="TableGrid"/>
    <w:rsid w:val="005C06B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F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F3"/>
    <w:rPr>
      <w:rFonts w:ascii="Calibri" w:eastAsia="Calibri" w:hAnsi="Calibri" w:cs="Times New Roman"/>
      <w:lang w:val="en-US"/>
    </w:rPr>
  </w:style>
  <w:style w:type="table" w:customStyle="1" w:styleId="PlainTable1">
    <w:name w:val="Plain Table 1"/>
    <w:basedOn w:val="TableNormal"/>
    <w:uiPriority w:val="41"/>
    <w:rsid w:val="00C23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B04B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8B4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929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0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5C6"/>
    <w:pPr>
      <w:spacing w:after="0" w:line="240" w:lineRule="auto"/>
      <w:ind w:left="101" w:firstLine="720"/>
    </w:pPr>
    <w:rPr>
      <w:rFonts w:ascii="Times New Roman" w:eastAsia="Times New Roman" w:hAnsi="Times New Roman"/>
      <w:color w:val="000000" w:themeColor="text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5C6"/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C6"/>
    <w:rPr>
      <w:rFonts w:ascii="Segoe UI" w:eastAsia="Calibri" w:hAnsi="Segoe UI" w:cs="Segoe UI"/>
      <w:sz w:val="18"/>
      <w:szCs w:val="18"/>
      <w:lang w:val="en-US"/>
    </w:rPr>
  </w:style>
  <w:style w:type="table" w:customStyle="1" w:styleId="GridTable1LightAccent1">
    <w:name w:val="Grid Table 1 Light Accent 1"/>
    <w:basedOn w:val="TableNormal"/>
    <w:uiPriority w:val="46"/>
    <w:rsid w:val="008D6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A93F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6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7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6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57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51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Radhika Adholeya</dc:creator>
  <cp:keywords/>
  <dc:description/>
  <cp:lastModifiedBy>Home</cp:lastModifiedBy>
  <cp:revision>27</cp:revision>
  <cp:lastPrinted>2020-10-21T10:21:00Z</cp:lastPrinted>
  <dcterms:created xsi:type="dcterms:W3CDTF">2021-08-20T12:04:00Z</dcterms:created>
  <dcterms:modified xsi:type="dcterms:W3CDTF">2021-09-14T08:43:00Z</dcterms:modified>
</cp:coreProperties>
</file>