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42B" w:rsidRDefault="0098442B" w:rsidP="009844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98442B">
        <w:rPr>
          <w:rFonts w:ascii="Calibri" w:eastAsia="Calibri" w:hAnsi="Calibri" w:cs="Calibri"/>
          <w:b/>
          <w:color w:val="000000"/>
          <w:sz w:val="30"/>
          <w:szCs w:val="30"/>
        </w:rPr>
        <w:t>Scope of Work</w:t>
      </w:r>
    </w:p>
    <w:p w:rsidR="0098442B" w:rsidRDefault="0098442B" w:rsidP="009844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:rsidR="0098442B" w:rsidRDefault="0098442B" w:rsidP="0098442B">
      <w:pPr>
        <w:autoSpaceDE w:val="0"/>
        <w:autoSpaceDN w:val="0"/>
        <w:adjustRightInd w:val="0"/>
        <w:spacing w:line="240" w:lineRule="auto"/>
        <w:rPr>
          <w:rFonts w:eastAsiaTheme="minorHAnsi"/>
          <w:b/>
          <w:color w:val="2B4B83"/>
          <w:lang w:val="en-IN"/>
        </w:rPr>
      </w:pPr>
      <w:r>
        <w:rPr>
          <w:color w:val="222222"/>
          <w:shd w:val="clear" w:color="auto" w:fill="FFFFFF"/>
        </w:rPr>
        <w:t>Mentor-Mentee Program</w:t>
      </w:r>
    </w:p>
    <w:p w:rsidR="0098442B" w:rsidRDefault="0098442B" w:rsidP="009844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0"/>
          <w:szCs w:val="30"/>
        </w:rPr>
      </w:pPr>
    </w:p>
    <w:p w:rsidR="0039311C" w:rsidRDefault="00027123" w:rsidP="009844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Need for a Public Health Act and Regulation </w:t>
      </w:r>
    </w:p>
    <w:p w:rsidR="0039311C" w:rsidRDefault="00027123" w:rsidP="0098442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4" w:lineRule="auto"/>
        <w:ind w:right="267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A study of the ongoing pandemic response, Epidemic Diseases Act - 1987, </w:t>
      </w:r>
      <w:proofErr w:type="gramStart"/>
      <w:r>
        <w:rPr>
          <w:rFonts w:ascii="Calibri" w:eastAsia="Calibri" w:hAnsi="Calibri" w:cs="Calibri"/>
          <w:b/>
          <w:color w:val="000000"/>
          <w:sz w:val="26"/>
          <w:szCs w:val="26"/>
        </w:rPr>
        <w:t>Public  Health</w:t>
      </w:r>
      <w:proofErr w:type="gramEnd"/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(Prevention, Control and Management of Epidemics, Bioterrorism and  Disasters) Bill - 2017 and the Disaster Management Act - 2005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02" w:line="244" w:lineRule="auto"/>
        <w:ind w:left="1" w:right="-4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ongoing COVID-19 pandemic has heightened the need of an adequate public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health  regulation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to deal more effectively with outbreaks of infectious diseases. Over the past year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,  the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Government of India relied upon the Epidemic Diseases Act of 1897,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Section 144 of the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Indian Penal Code, and the Disaster Management Act of 2005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to tackle the novel 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coronavirus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However, these laws are deficient to deal with an epidemic that has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ability  to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spread as much as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Coronavirus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The Epidemic Diseases Act is dated, it does not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define  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disease or an epidemic. There is no clear distinction between ‘isolation’ and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‘quarantine’ 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there is no provision ensuring medical care and support to those who are affected.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On  the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other hand, the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Disaster Management Act used to invoke the national lockdown is not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designed to address medical emergencies. COVID – 19 was declared a notified disaster.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The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‘unlock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phase’ guidelines are issued by the Ministry of Home Affairs and section 144 of the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Indian Penal Code is deployed to prohibit public gatherings.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This warrants an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immediate  need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for an overarching legal framework.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4" w:lineRule="auto"/>
        <w:ind w:left="1" w:right="-4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legal architecture surrounding health policies in India is perplexing, more so,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because  health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is a state subject. There have been attempts to design a collaborative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federal  framework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for the health system as a whole, for instance, the Model Public Health Act - 1955,  the National Health Bill – 2009, The draft Public Health (Prevention, Control and Management  of Epidemics, Bio-Terrorism and Disasters) Bill - 2017.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however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, these bills could not be passed  in the parliament as the states did not approve of it. Even though, there is no uniform law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,  several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states have their own health legislations, for instance Andhra Pradesh, Tamil Nadu,  Goa, Uttar Pradesh, Madhya Pradesh and Assam have their own public health acts.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The  challenge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is not multiple legal structures, rather a lack of universal one. 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4" w:lineRule="auto"/>
        <w:ind w:left="3" w:right="-4" w:firstLine="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Given the implications of COVID - 19, there is an opportunity to introduce a National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Public  Health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Bill incorporating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learnings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over the past year, building on global experiences and  supplementing it with adequate devolution of powers, empowering states and local bodies  to take requisite action. 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3" w:lineRule="auto"/>
        <w:ind w:left="10" w:right="-4" w:hanging="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Take, for example, the Canadian health system. Canada relies upon the Emergency Act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of  1988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, the Emergency Management Act 2007, Public Health Agency of Canada Act 2006,  Quarantine Act of 2005. The provinces have their own health acts however they function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in  close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coordination with the central government during an exigency. These legal provisions  empowers the Canadian health system to take scientific steps during a health crisis, the laws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envisage regulating movement of people, requisition and disposition of property, distribution  of essential goods, establishment of emergency hospitals, and imposition of fines. Similarly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,  in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England, the Public Health Act of 1984 provides a clear hierarchical chain in which the  primary, secondary and tertiary responders operate when dealing with a health crisis.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The  responsibilities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from the local level up till the national level are clearly defined.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1" w:right="-4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new Public Health Act must clearly define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diseases, epidemics, pandemics etc.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law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needs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to be establish identification, categorization and benchmarking indicators for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contagious diseases. It must account for factors such as scale of the disease (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affected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population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), distribution (age, gender), geographical spread (local, national, international),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the severity (mortality, morbidity), and availability of requisite medication. Although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the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Government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of India did a commendable job with sequestering and sequencing of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vaccines, however, the public health bill should ideally delineate scientific steps,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government’s duties, quarantine measures to control an epidemic. Consider, for instance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the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1897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Epidemic Diseases Act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provisions for devolution of power to “any” person during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an exigency. This clause by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iteslf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causes arbitration in devolution of power. The new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law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must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balance public interest while maintaining adequate privacy of its citizens.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4" w:lineRule="auto"/>
        <w:ind w:left="1" w:right="-5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The bill should improve upon the fragmented care delivery towards a more integrated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care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model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. In an epidemic, the entire health system should ideally function as a single unit.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In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India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the National Centre for disease control leads the Integrated Disease Surveillance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Programme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the National Health Mission caters to primary health care, while the National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Health Authority acts as a pillar to supplement India’s tertiary care needs. Although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Ayushman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Bharat, National Health Mission, and IDSP have played a pivotal role during the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pandemic, these structures continue to function in silos. Taking example of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the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Public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Health Agency of Canada, the body is envisaged to deal with prevention and control of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infectious diseases among other objectives such as promotion of health, prevention and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control of chronic diseases, and preparation and response to public health emergencies.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similar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structural reform may be required in India as well. The Government of India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is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aiming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to bridge the information gap with the National Digital Health Mission, however,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including components of integrated service delivery in the National Health Bill will improve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it significantly. Consider this, incorporating telemedicine guidelines in the law can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deliver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much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effective outcomes, as already demonstrated in the past year. A significant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emphasis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needs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to be on bio-security as a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defence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against bio-warfare. The novel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coronavirus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has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been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labelled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 quasi-biological war in its scale, scope, duration, and impact. A lack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of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immediate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bio-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defence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and a long time lag between finding a treatment or vaccine brings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high morbidity and mortality rates. Containment measures such as lockdowns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have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brought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even the strongest countries to their knees and halted their economies. In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order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to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establish a quick response labs, medical facilities, and hospitals should be made re pursuable such that they may be used for testing and therapeutics development.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Therefore, public-private partnerships must be encouraged. Tech based solutions such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as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telemedicine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surveillance technologies, information networks, and contact tracing apps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are important bio and health security measures.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91" w:line="244" w:lineRule="auto"/>
        <w:ind w:left="1" w:hanging="2"/>
        <w:jc w:val="both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The public health bill can create a single comprehensive legislation including segments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from Indian Ports Act, Livestock Importation Act, Aircraft Rules, Drugs and Cosmetic Act,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Disaster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lastRenderedPageBreak/>
        <w:t xml:space="preserve">Management Act, the Essential Commodities Act, etc that can restrict rights to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liberty, privacy, movement, and property while ensuring right to health. Additionally,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there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need to address denial of medical assistance, shortage of hospital beds and ventilators,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prices of face masks,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sanitisers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etc. It is necessary to balance the rights and interests of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15" w:right="12" w:firstLine="2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patients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healthcare workers and other stakeholders, comprehensively. Therefore It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is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imperative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to develop a comprehensive umbrella law, despite its challenging nature.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21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Methodology: 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5" w:lineRule="auto"/>
        <w:ind w:left="3" w:right="-1" w:hanging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study aims to undertake a literature review of existing laws governing the response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to  the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current COVID–19 pandemic in India. The study will review the following laws: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3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Epidemic Diseases Act of 1897, (Amendment 2020)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Model Public Health Act - 1955, the National Health Bill – 2009, 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5" w:lineRule="auto"/>
        <w:ind w:left="731" w:right="-3" w:hanging="35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3. The Public Health (Prevention, Control and Management of Epidemics, Bio-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Terrorism 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Disasters) Bill - 2017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36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Section 144 of the Indian Penal Code,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Disaster Management Act of 2005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Essential Commodities Act 1955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Drugs and Cosmetic Act 1940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7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8.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Unlock Guidelines, Ministry of Home Affairs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3" w:lineRule="auto"/>
        <w:ind w:left="6" w:right="-1" w:firstLine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Further, the paper aims to prepare comparative case studies of countries that have a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robust  response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mechanism to tackle pandemics, and lastly identify conceptual framework governing laws on 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40" w:lineRule="auto"/>
        <w:ind w:left="3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Health emergencies and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federal coordination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7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Bio-terrorism and national security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Surveillance and privacy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4" w:lineRule="auto"/>
        <w:ind w:left="10" w:right="-4" w:firstLine="9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addition to the secondary research, telephonic interviews with policy makers, high  court/supreme court judges, policy think tanks and academic institutes will also be  undertaken to gain perspective on the identified conceptual notions and the National Health  Bill - 2009, and the Public Health Bill - 2017.  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1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Timeline:  </w:t>
      </w:r>
    </w:p>
    <w:tbl>
      <w:tblPr>
        <w:tblStyle w:val="a"/>
        <w:tblW w:w="49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00"/>
        <w:gridCol w:w="3657"/>
      </w:tblGrid>
      <w:tr w:rsidR="0039311C">
        <w:trPr>
          <w:cantSplit/>
          <w:trHeight w:val="350"/>
          <w:tblHeader/>
        </w:trPr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11C" w:rsidRDefault="000271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Week 01 </w:t>
            </w:r>
          </w:p>
        </w:tc>
        <w:tc>
          <w:tcPr>
            <w:tcW w:w="3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11C" w:rsidRDefault="000271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Inception of the study </w:t>
            </w:r>
          </w:p>
        </w:tc>
      </w:tr>
      <w:tr w:rsidR="0039311C">
        <w:trPr>
          <w:cantSplit/>
          <w:trHeight w:val="349"/>
          <w:tblHeader/>
        </w:trPr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11C" w:rsidRDefault="000271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Week 02 </w:t>
            </w:r>
          </w:p>
        </w:tc>
        <w:tc>
          <w:tcPr>
            <w:tcW w:w="3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11C" w:rsidRDefault="000271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Literature Review of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exisitng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laws</w:t>
            </w:r>
          </w:p>
        </w:tc>
      </w:tr>
      <w:tr w:rsidR="0039311C">
        <w:trPr>
          <w:cantSplit/>
          <w:trHeight w:val="350"/>
          <w:tblHeader/>
        </w:trPr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11C" w:rsidRDefault="000271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Week 04 </w:t>
            </w:r>
          </w:p>
        </w:tc>
        <w:tc>
          <w:tcPr>
            <w:tcW w:w="3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11C" w:rsidRDefault="000271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Prepare Case studies</w:t>
            </w:r>
          </w:p>
        </w:tc>
      </w:tr>
      <w:tr w:rsidR="0039311C">
        <w:trPr>
          <w:cantSplit/>
          <w:trHeight w:val="350"/>
          <w:tblHeader/>
        </w:trPr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11C" w:rsidRDefault="000271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Week 06 </w:t>
            </w:r>
          </w:p>
        </w:tc>
        <w:tc>
          <w:tcPr>
            <w:tcW w:w="3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11C" w:rsidRDefault="000271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Identify conceptual framework</w:t>
            </w:r>
          </w:p>
        </w:tc>
      </w:tr>
      <w:tr w:rsidR="0039311C">
        <w:trPr>
          <w:cantSplit/>
          <w:trHeight w:val="330"/>
          <w:tblHeader/>
        </w:trPr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11C" w:rsidRDefault="000271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Week 08 </w:t>
            </w:r>
          </w:p>
        </w:tc>
        <w:tc>
          <w:tcPr>
            <w:tcW w:w="3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11C" w:rsidRDefault="000271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Telephonic Interviews</w:t>
            </w:r>
          </w:p>
        </w:tc>
      </w:tr>
      <w:tr w:rsidR="0039311C">
        <w:trPr>
          <w:cantSplit/>
          <w:trHeight w:val="330"/>
          <w:tblHeader/>
        </w:trPr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11C" w:rsidRDefault="000271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 xml:space="preserve">Week 10 </w:t>
            </w:r>
          </w:p>
        </w:tc>
        <w:tc>
          <w:tcPr>
            <w:tcW w:w="3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11C" w:rsidRDefault="000271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Finalise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draft</w:t>
            </w:r>
          </w:p>
        </w:tc>
      </w:tr>
      <w:tr w:rsidR="0039311C">
        <w:trPr>
          <w:cantSplit/>
          <w:trHeight w:val="330"/>
          <w:tblHeader/>
        </w:trPr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11C" w:rsidRDefault="000271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Week 12 </w:t>
            </w:r>
          </w:p>
        </w:tc>
        <w:tc>
          <w:tcPr>
            <w:tcW w:w="3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11C" w:rsidRDefault="0002712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End of study</w:t>
            </w:r>
          </w:p>
        </w:tc>
      </w:tr>
    </w:tbl>
    <w:p w:rsidR="0039311C" w:rsidRDefault="0039311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9311C" w:rsidRDefault="0039311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Aspired mentor:</w:t>
      </w:r>
    </w:p>
    <w:p w:rsidR="0039311C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15" w:right="1434" w:firstLine="4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Dr.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Indranil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Mukhopadhyay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Associate Professor, O.P.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Jindal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Global University.  </w:t>
      </w:r>
      <w:hyperlink r:id="rId4" w:history="1">
        <w:r w:rsidRPr="0035627A">
          <w:rPr>
            <w:rStyle w:val="Hyperlink"/>
            <w:rFonts w:ascii="Calibri" w:eastAsia="Calibri" w:hAnsi="Calibri" w:cs="Calibri"/>
            <w:sz w:val="24"/>
            <w:szCs w:val="24"/>
          </w:rPr>
          <w:t>imukhopadhyay@jgu.edu.in</w:t>
        </w:r>
      </w:hyperlink>
    </w:p>
    <w:p w:rsidR="00027123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15" w:right="1434" w:firstLine="4"/>
        <w:rPr>
          <w:rFonts w:ascii="Calibri" w:eastAsia="Calibri" w:hAnsi="Calibri" w:cs="Calibri"/>
          <w:color w:val="0563C1"/>
          <w:sz w:val="24"/>
          <w:szCs w:val="24"/>
          <w:u w:val="single"/>
        </w:rPr>
      </w:pPr>
    </w:p>
    <w:p w:rsidR="00027123" w:rsidRPr="000F1D52" w:rsidRDefault="00027123" w:rsidP="00027123">
      <w:pPr>
        <w:shd w:val="clear" w:color="auto" w:fill="FFFFFF"/>
        <w:spacing w:after="200" w:line="253" w:lineRule="atLeast"/>
        <w:rPr>
          <w:rFonts w:eastAsia="Times New Roman"/>
          <w:color w:val="222222"/>
          <w:lang w:eastAsia="en-IN"/>
        </w:rPr>
      </w:pPr>
      <w:r w:rsidRPr="009C1C35">
        <w:rPr>
          <w:b/>
        </w:rPr>
        <w:t>Compensation</w:t>
      </w:r>
    </w:p>
    <w:p w:rsidR="0098442B" w:rsidRDefault="00027123" w:rsidP="0098442B">
      <w:pPr>
        <w:jc w:val="both"/>
      </w:pPr>
      <w:r>
        <w:t xml:space="preserve">The Consultancy fee for this engagement is </w:t>
      </w:r>
      <w:r>
        <w:rPr>
          <w:bCs/>
        </w:rPr>
        <w:t>USD 5,000</w:t>
      </w:r>
      <w:r w:rsidRPr="00350403">
        <w:rPr>
          <w:b/>
          <w:bCs/>
        </w:rPr>
        <w:t xml:space="preserve"> </w:t>
      </w:r>
      <w:r w:rsidRPr="00350403">
        <w:t>(I</w:t>
      </w:r>
      <w:r>
        <w:t xml:space="preserve">nclusive of all indirect taxes). </w:t>
      </w:r>
      <w:r>
        <w:rPr>
          <w:color w:val="222222"/>
          <w:shd w:val="clear" w:color="auto" w:fill="FFFFFF"/>
        </w:rPr>
        <w:t xml:space="preserve">The payment will be disbursed in three </w:t>
      </w:r>
      <w:proofErr w:type="spellStart"/>
      <w:r>
        <w:rPr>
          <w:color w:val="222222"/>
          <w:shd w:val="clear" w:color="auto" w:fill="FFFFFF"/>
        </w:rPr>
        <w:t>instalments</w:t>
      </w:r>
      <w:proofErr w:type="spellEnd"/>
      <w:r>
        <w:rPr>
          <w:color w:val="222222"/>
          <w:shd w:val="clear" w:color="auto" w:fill="FFFFFF"/>
        </w:rPr>
        <w:t xml:space="preserve">, in the proportions given below </w:t>
      </w:r>
      <w:r w:rsidR="0098442B">
        <w:t>and the consultant should provide the invoice against each deliverable</w:t>
      </w:r>
      <w:r w:rsidR="0098442B" w:rsidRPr="00350403">
        <w:t xml:space="preserve">. </w:t>
      </w:r>
    </w:p>
    <w:p w:rsidR="00027123" w:rsidRDefault="00027123" w:rsidP="00027123">
      <w:pPr>
        <w:jc w:val="both"/>
      </w:pPr>
    </w:p>
    <w:tbl>
      <w:tblPr>
        <w:tblW w:w="8000" w:type="dxa"/>
        <w:tblCellMar>
          <w:left w:w="0" w:type="dxa"/>
          <w:right w:w="0" w:type="dxa"/>
        </w:tblCellMar>
        <w:tblLook w:val="04A0"/>
      </w:tblPr>
      <w:tblGrid>
        <w:gridCol w:w="1192"/>
        <w:gridCol w:w="1217"/>
        <w:gridCol w:w="954"/>
        <w:gridCol w:w="4637"/>
      </w:tblGrid>
      <w:tr w:rsidR="00027123" w:rsidRPr="000F1D52" w:rsidTr="0061284B">
        <w:trPr>
          <w:trHeight w:val="576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 w:rsidRPr="000F1D52">
              <w:rPr>
                <w:rFonts w:eastAsia="Times New Roman"/>
                <w:b/>
                <w:bCs/>
                <w:color w:val="000000"/>
              </w:rPr>
              <w:t>Instalment</w:t>
            </w:r>
            <w:proofErr w:type="spellEnd"/>
            <w:r w:rsidRPr="000F1D52">
              <w:rPr>
                <w:rFonts w:eastAsia="Times New Roman"/>
                <w:b/>
                <w:bCs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b/>
                <w:bCs/>
                <w:color w:val="000000"/>
              </w:rPr>
              <w:t>Percentage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b/>
                <w:bCs/>
                <w:color w:val="000000"/>
              </w:rPr>
              <w:t>Amount (USD)</w:t>
            </w:r>
          </w:p>
        </w:tc>
        <w:tc>
          <w:tcPr>
            <w:tcW w:w="4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b/>
                <w:bCs/>
                <w:color w:val="000000"/>
              </w:rPr>
              <w:t>Deliverable/ Milestone </w:t>
            </w:r>
          </w:p>
        </w:tc>
      </w:tr>
      <w:tr w:rsidR="00027123" w:rsidRPr="000F1D52" w:rsidTr="0061284B">
        <w:trPr>
          <w:trHeight w:val="288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color w:val="000000"/>
              </w:rPr>
              <w:t>1250</w:t>
            </w:r>
          </w:p>
        </w:tc>
        <w:tc>
          <w:tcPr>
            <w:tcW w:w="4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color w:val="000000"/>
              </w:rPr>
              <w:t>On Signing Contract </w:t>
            </w:r>
          </w:p>
        </w:tc>
      </w:tr>
      <w:tr w:rsidR="00027123" w:rsidRPr="000F1D52" w:rsidTr="0061284B">
        <w:trPr>
          <w:trHeight w:val="864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color w:val="000000"/>
              </w:rPr>
              <w:t>25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color w:val="000000"/>
              </w:rPr>
              <w:t>1250</w:t>
            </w:r>
          </w:p>
        </w:tc>
        <w:tc>
          <w:tcPr>
            <w:tcW w:w="4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color w:val="000000"/>
              </w:rPr>
              <w:t>On submission of literature review and methodology (including stakeholders for a qualitative interview and analysis plan) approved by the Mentor, and</w:t>
            </w:r>
          </w:p>
        </w:tc>
      </w:tr>
      <w:tr w:rsidR="00027123" w:rsidRPr="000F1D52" w:rsidTr="0061284B">
        <w:trPr>
          <w:trHeight w:val="576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color w:val="000000"/>
              </w:rPr>
              <w:t>2500</w:t>
            </w:r>
          </w:p>
        </w:tc>
        <w:tc>
          <w:tcPr>
            <w:tcW w:w="4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123" w:rsidRPr="000F1D52" w:rsidRDefault="00027123" w:rsidP="0061284B">
            <w:pPr>
              <w:spacing w:line="240" w:lineRule="auto"/>
              <w:rPr>
                <w:rFonts w:eastAsia="Times New Roman"/>
                <w:color w:val="000000"/>
              </w:rPr>
            </w:pPr>
            <w:r w:rsidRPr="000F1D52">
              <w:rPr>
                <w:rFonts w:eastAsia="Times New Roman"/>
                <w:color w:val="000000"/>
              </w:rPr>
              <w:t>On submission of the final deliverable approved and accepted by the Mentor &amp; AHI Team.  </w:t>
            </w:r>
          </w:p>
        </w:tc>
      </w:tr>
    </w:tbl>
    <w:p w:rsidR="00027123" w:rsidRDefault="00027123" w:rsidP="00027123">
      <w:pPr>
        <w:jc w:val="both"/>
      </w:pPr>
    </w:p>
    <w:p w:rsidR="00027123" w:rsidRDefault="00027123" w:rsidP="00027123">
      <w:pPr>
        <w:jc w:val="both"/>
        <w:rPr>
          <w:b/>
        </w:rPr>
      </w:pPr>
    </w:p>
    <w:p w:rsidR="00027123" w:rsidRDefault="00027123" w:rsidP="00027123">
      <w:pPr>
        <w:jc w:val="both"/>
        <w:rPr>
          <w:b/>
        </w:rPr>
      </w:pPr>
      <w:r w:rsidRPr="009C1C35">
        <w:rPr>
          <w:b/>
        </w:rPr>
        <w:t>Term</w:t>
      </w:r>
    </w:p>
    <w:p w:rsidR="00027123" w:rsidRPr="000F1D52" w:rsidRDefault="00027123" w:rsidP="00027123">
      <w:pPr>
        <w:jc w:val="both"/>
      </w:pPr>
    </w:p>
    <w:p w:rsidR="00027123" w:rsidRDefault="00027123" w:rsidP="00027123">
      <w:pPr>
        <w:jc w:val="both"/>
      </w:pPr>
      <w:r w:rsidRPr="009C1C35">
        <w:t xml:space="preserve">This engagement shall commence upon execution of this Agreement. </w:t>
      </w:r>
      <w:r>
        <w:t>The Agreement shall c</w:t>
      </w:r>
      <w:r w:rsidRPr="009C1C35">
        <w:t xml:space="preserve">ontinue in full force and is effect </w:t>
      </w:r>
      <w:r w:rsidRPr="008B2D80">
        <w:t xml:space="preserve">from </w:t>
      </w:r>
      <w:r>
        <w:rPr>
          <w:b/>
        </w:rPr>
        <w:t>September 15, 2021</w:t>
      </w:r>
      <w:r w:rsidRPr="008B2D80">
        <w:t xml:space="preserve"> to </w:t>
      </w:r>
      <w:r>
        <w:rPr>
          <w:b/>
        </w:rPr>
        <w:t xml:space="preserve">December 15, 2021 </w:t>
      </w:r>
      <w:r w:rsidRPr="00741F45">
        <w:t>a</w:t>
      </w:r>
      <w:r w:rsidRPr="009C1C35">
        <w:t xml:space="preserve">nd is extendable based on the </w:t>
      </w:r>
      <w:r>
        <w:t>review of Consultant</w:t>
      </w:r>
      <w:r w:rsidRPr="009C1C35">
        <w:t xml:space="preserve">’s performance </w:t>
      </w:r>
      <w:r>
        <w:t xml:space="preserve">by the Foundation </w:t>
      </w:r>
      <w:r w:rsidRPr="009C1C35">
        <w:t xml:space="preserve">and mutual concurrence on revised terms of engagement. </w:t>
      </w:r>
    </w:p>
    <w:p w:rsidR="00027123" w:rsidRPr="009C1C35" w:rsidRDefault="00027123" w:rsidP="00027123">
      <w:pPr>
        <w:jc w:val="both"/>
      </w:pPr>
    </w:p>
    <w:p w:rsidR="00027123" w:rsidRPr="000F1D52" w:rsidRDefault="00027123" w:rsidP="00027123">
      <w:pPr>
        <w:pStyle w:val="ListParagraph"/>
        <w:jc w:val="both"/>
        <w:rPr>
          <w:rFonts w:ascii="Arial" w:hAnsi="Arial" w:cs="Arial"/>
        </w:rPr>
      </w:pPr>
    </w:p>
    <w:p w:rsidR="00027123" w:rsidRPr="000F1D52" w:rsidRDefault="00027123" w:rsidP="00027123">
      <w:pPr>
        <w:pStyle w:val="ListParagraph"/>
        <w:rPr>
          <w:rFonts w:ascii="Arial" w:hAnsi="Arial" w:cs="Arial"/>
        </w:rPr>
      </w:pPr>
    </w:p>
    <w:p w:rsidR="00027123" w:rsidRPr="000F1D52" w:rsidRDefault="00027123" w:rsidP="00027123">
      <w:pPr>
        <w:pStyle w:val="ListParagraph"/>
        <w:jc w:val="both"/>
        <w:rPr>
          <w:rFonts w:ascii="Arial" w:hAnsi="Arial" w:cs="Arial"/>
        </w:rPr>
      </w:pPr>
    </w:p>
    <w:p w:rsidR="00027123" w:rsidRPr="000F1D52" w:rsidRDefault="00027123" w:rsidP="00027123">
      <w:pPr>
        <w:pStyle w:val="ListParagraph"/>
        <w:ind w:left="1080"/>
        <w:jc w:val="both"/>
        <w:rPr>
          <w:rFonts w:ascii="Arial" w:hAnsi="Arial" w:cs="Arial"/>
        </w:rPr>
      </w:pPr>
    </w:p>
    <w:p w:rsidR="00027123" w:rsidRPr="000F1D52" w:rsidRDefault="00027123" w:rsidP="00027123"/>
    <w:p w:rsidR="00027123" w:rsidRDefault="0002712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15" w:right="1434" w:firstLine="4"/>
        <w:rPr>
          <w:rFonts w:ascii="Calibri" w:eastAsia="Calibri" w:hAnsi="Calibri" w:cs="Calibri"/>
          <w:color w:val="0563C1"/>
          <w:sz w:val="24"/>
          <w:szCs w:val="24"/>
          <w:u w:val="single"/>
        </w:rPr>
      </w:pPr>
    </w:p>
    <w:sectPr w:rsidR="00027123" w:rsidSect="0039311C">
      <w:pgSz w:w="11900" w:h="16840"/>
      <w:pgMar w:top="1430" w:right="1381" w:bottom="152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39311C"/>
    <w:rsid w:val="00027123"/>
    <w:rsid w:val="0039311C"/>
    <w:rsid w:val="003D788C"/>
    <w:rsid w:val="00984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88C"/>
  </w:style>
  <w:style w:type="paragraph" w:styleId="Heading1">
    <w:name w:val="heading 1"/>
    <w:basedOn w:val="normal0"/>
    <w:next w:val="normal0"/>
    <w:rsid w:val="003931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931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931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931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9311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931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311C"/>
  </w:style>
  <w:style w:type="paragraph" w:styleId="Title">
    <w:name w:val="Title"/>
    <w:basedOn w:val="normal0"/>
    <w:next w:val="normal0"/>
    <w:rsid w:val="0039311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931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9311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271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1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mukhopadhyay@jgu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1482</Words>
  <Characters>8454</Characters>
  <Application>Microsoft Office Word</Application>
  <DocSecurity>0</DocSecurity>
  <Lines>70</Lines>
  <Paragraphs>19</Paragraphs>
  <ScaleCrop>false</ScaleCrop>
  <Company>Grizli777</Company>
  <LinksUpToDate>false</LinksUpToDate>
  <CharactersWithSpaces>9917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dcterms:created xsi:type="dcterms:W3CDTF">2021-09-13T14:35:00Z</dcterms:created>
  <dcterms:modified xsi:type="dcterms:W3CDTF">2021-09-14T08:45:00Z</dcterms:modified>
</cp:coreProperties>
</file>