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D65" w:rsidRDefault="00133D65" w:rsidP="00133D65">
      <w:pPr>
        <w:pStyle w:val="Heading1"/>
        <w:rPr>
          <w:rStyle w:val="hgkelc"/>
          <w:rFonts w:ascii="Arial" w:hAnsi="Arial" w:cs="Arial"/>
          <w:sz w:val="22"/>
          <w:szCs w:val="22"/>
        </w:rPr>
      </w:pPr>
      <w:r>
        <w:rPr>
          <w:rStyle w:val="hgkelc"/>
          <w:rFonts w:ascii="Arial" w:hAnsi="Arial" w:cs="Arial"/>
          <w:sz w:val="22"/>
          <w:szCs w:val="22"/>
        </w:rPr>
        <w:t>Scope of Work</w:t>
      </w:r>
    </w:p>
    <w:p w:rsidR="00133D65" w:rsidRPr="00133D65" w:rsidRDefault="00133D65" w:rsidP="00133D65">
      <w:pPr>
        <w:pStyle w:val="Heading1"/>
        <w:rPr>
          <w:rStyle w:val="hgkelc"/>
          <w:rFonts w:ascii="Arial" w:hAnsi="Arial" w:cs="Arial"/>
          <w:b w:val="0"/>
          <w:sz w:val="22"/>
          <w:szCs w:val="22"/>
        </w:rPr>
      </w:pPr>
      <w:r w:rsidRPr="00133D65">
        <w:rPr>
          <w:rFonts w:ascii="Arial" w:hAnsi="Arial" w:cs="Arial"/>
          <w:b w:val="0"/>
          <w:color w:val="222222"/>
          <w:sz w:val="22"/>
          <w:szCs w:val="22"/>
          <w:shd w:val="clear" w:color="auto" w:fill="FFFFFF"/>
        </w:rPr>
        <w:t>Mentor-Mentee Program</w:t>
      </w:r>
    </w:p>
    <w:p w:rsidR="006C35F1" w:rsidRPr="00CD634E" w:rsidRDefault="006C35F1" w:rsidP="006C35F1">
      <w:pPr>
        <w:pStyle w:val="Heading1"/>
        <w:jc w:val="center"/>
        <w:rPr>
          <w:rStyle w:val="hgkelc"/>
          <w:rFonts w:ascii="Arial" w:hAnsi="Arial" w:cs="Arial"/>
          <w:sz w:val="22"/>
          <w:szCs w:val="22"/>
        </w:rPr>
      </w:pPr>
      <w:r w:rsidRPr="00CD634E">
        <w:rPr>
          <w:rStyle w:val="hgkelc"/>
          <w:rFonts w:ascii="Arial" w:hAnsi="Arial" w:cs="Arial"/>
          <w:sz w:val="22"/>
          <w:szCs w:val="22"/>
        </w:rPr>
        <w:t>Development of a Framework to Guide NCD Risk Reduction Training in Undergraduate Nursing Curriculum</w:t>
      </w:r>
    </w:p>
    <w:p w:rsidR="006C35F1" w:rsidRPr="00CD634E" w:rsidRDefault="006C35F1" w:rsidP="006C35F1">
      <w:pPr>
        <w:pStyle w:val="Heading1"/>
        <w:jc w:val="both"/>
        <w:rPr>
          <w:rStyle w:val="hgkelc"/>
          <w:rFonts w:ascii="Arial" w:hAnsi="Arial" w:cs="Arial"/>
          <w:sz w:val="22"/>
          <w:szCs w:val="22"/>
        </w:rPr>
      </w:pPr>
      <w:r w:rsidRPr="00CD634E">
        <w:rPr>
          <w:rStyle w:val="hgkelc"/>
          <w:rFonts w:ascii="Arial" w:hAnsi="Arial" w:cs="Arial"/>
          <w:sz w:val="22"/>
          <w:szCs w:val="22"/>
        </w:rPr>
        <w:t>Introduction</w:t>
      </w:r>
    </w:p>
    <w:p w:rsidR="006C35F1" w:rsidRPr="00CD634E" w:rsidRDefault="006C35F1" w:rsidP="006C35F1">
      <w:pPr>
        <w:jc w:val="both"/>
        <w:rPr>
          <w:rFonts w:ascii="Arial" w:hAnsi="Arial" w:cs="Arial"/>
          <w:sz w:val="22"/>
          <w:szCs w:val="22"/>
        </w:rPr>
      </w:pPr>
      <w:r w:rsidRPr="00CD634E">
        <w:rPr>
          <w:rStyle w:val="hgkelc"/>
          <w:rFonts w:ascii="Arial" w:hAnsi="Arial" w:cs="Arial"/>
          <w:sz w:val="22"/>
          <w:szCs w:val="22"/>
        </w:rPr>
        <w:t>In India, nearly 5.8 million people die from non-communicable diseases (NCDs)every year.</w:t>
      </w:r>
      <w:r w:rsidRPr="00CD634E">
        <w:rPr>
          <w:rStyle w:val="hgkelc"/>
          <w:rFonts w:ascii="Arial" w:hAnsi="Arial" w:cs="Arial"/>
          <w:sz w:val="22"/>
          <w:szCs w:val="22"/>
          <w:vertAlign w:val="superscript"/>
        </w:rPr>
        <w:t>1</w:t>
      </w:r>
      <w:r w:rsidRPr="00CD634E">
        <w:rPr>
          <w:rFonts w:ascii="Arial" w:hAnsi="Arial" w:cs="Arial"/>
          <w:sz w:val="22"/>
          <w:szCs w:val="22"/>
        </w:rPr>
        <w:t xml:space="preserve">Cardiovascular diseases, respiratory diseases, and diabetes mellitus together accounted for a substantial proportion of total deaths in India in 2016 with considerable cross-state variation. In absolute terms, cardiovascular diseases, respiratory diseases, and diabetes kill around 4 million Indians annually (as of 2016).Most of these deaths are premature, occurring among Indians aged 30–70 years. The major NCDs share four behavioural risk factors unhealthy diet, lack of physical activity, and the use of tobacco and alcohol.  Educating people on risk reduction strategies and being able to screen them for early identification of disease will immensely help to prevent and control the rising burden of NCDs. </w:t>
      </w:r>
    </w:p>
    <w:p w:rsidR="006C35F1" w:rsidRPr="00CD634E" w:rsidRDefault="006C35F1" w:rsidP="006C35F1">
      <w:pPr>
        <w:spacing w:after="0"/>
        <w:jc w:val="both"/>
        <w:rPr>
          <w:rFonts w:ascii="Arial" w:hAnsi="Arial" w:cs="Arial"/>
          <w:b/>
          <w:sz w:val="22"/>
          <w:szCs w:val="22"/>
        </w:rPr>
      </w:pPr>
      <w:r w:rsidRPr="00CD634E">
        <w:rPr>
          <w:rFonts w:ascii="Arial" w:hAnsi="Arial" w:cs="Arial"/>
          <w:b/>
          <w:sz w:val="22"/>
          <w:szCs w:val="22"/>
        </w:rPr>
        <w:t>Background</w:t>
      </w:r>
    </w:p>
    <w:p w:rsidR="006C35F1" w:rsidRPr="00CD634E" w:rsidRDefault="006C35F1" w:rsidP="006C35F1">
      <w:pPr>
        <w:jc w:val="both"/>
        <w:rPr>
          <w:rFonts w:ascii="Arial" w:hAnsi="Arial" w:cs="Arial"/>
          <w:sz w:val="22"/>
          <w:szCs w:val="22"/>
        </w:rPr>
      </w:pPr>
      <w:r w:rsidRPr="00CD634E">
        <w:rPr>
          <w:rFonts w:ascii="Arial" w:eastAsia="Times New Roman" w:hAnsi="Arial" w:cs="Arial"/>
          <w:sz w:val="22"/>
          <w:szCs w:val="22"/>
          <w:lang w:eastAsia="en-IN"/>
        </w:rPr>
        <w:t>One of the four strategic actio</w:t>
      </w:r>
      <w:r w:rsidR="005A0DA3" w:rsidRPr="00CD634E">
        <w:rPr>
          <w:rFonts w:ascii="Arial" w:eastAsia="Times New Roman" w:hAnsi="Arial" w:cs="Arial"/>
          <w:sz w:val="22"/>
          <w:szCs w:val="22"/>
          <w:lang w:eastAsia="en-IN"/>
        </w:rPr>
        <w:t>n</w:t>
      </w:r>
      <w:r w:rsidRPr="00CD634E">
        <w:rPr>
          <w:rFonts w:ascii="Arial" w:eastAsia="Times New Roman" w:hAnsi="Arial" w:cs="Arial"/>
          <w:sz w:val="22"/>
          <w:szCs w:val="22"/>
          <w:lang w:eastAsia="en-IN"/>
        </w:rPr>
        <w:t xml:space="preserve"> areas identified in the National Multisectoral Action Plan for Prevention and Control of Common NCDs (2017-2022) is to strengthen capacity of human resources to provide NCD related services.</w:t>
      </w:r>
      <w:r w:rsidRPr="00CD634E">
        <w:rPr>
          <w:rFonts w:ascii="Arial" w:eastAsia="Times New Roman" w:hAnsi="Arial" w:cs="Arial"/>
          <w:sz w:val="22"/>
          <w:szCs w:val="22"/>
          <w:vertAlign w:val="superscript"/>
          <w:lang w:eastAsia="en-IN"/>
        </w:rPr>
        <w:t xml:space="preserve">2 </w:t>
      </w:r>
      <w:r w:rsidRPr="00CD634E">
        <w:rPr>
          <w:rFonts w:ascii="Arial" w:eastAsia="Times New Roman" w:hAnsi="Arial" w:cs="Arial"/>
          <w:sz w:val="22"/>
          <w:szCs w:val="22"/>
          <w:lang w:eastAsia="en-IN"/>
        </w:rPr>
        <w:t>The current education of healthcare professionals does not prepare them adequately for NCD risk reduction strategies.</w:t>
      </w:r>
      <w:r w:rsidRPr="00CD634E">
        <w:rPr>
          <w:rFonts w:ascii="Arial" w:eastAsia="Times New Roman" w:hAnsi="Arial" w:cs="Arial"/>
          <w:sz w:val="22"/>
          <w:szCs w:val="22"/>
          <w:vertAlign w:val="superscript"/>
          <w:lang w:eastAsia="en-IN"/>
        </w:rPr>
        <w:t>3,4</w:t>
      </w:r>
      <w:r w:rsidRPr="00CD634E">
        <w:rPr>
          <w:rFonts w:ascii="Arial" w:hAnsi="Arial" w:cs="Arial"/>
          <w:sz w:val="22"/>
          <w:szCs w:val="22"/>
        </w:rPr>
        <w:t xml:space="preserve"> The limited research in this area  has so far focused on examining medical curriculum for its effectiveness in training MBBS students on NCD risk identification, education, and screening. </w:t>
      </w:r>
    </w:p>
    <w:p w:rsidR="006C35F1" w:rsidRPr="00CD634E" w:rsidRDefault="006C35F1" w:rsidP="006C35F1">
      <w:pPr>
        <w:spacing w:after="0"/>
        <w:ind w:firstLine="720"/>
        <w:jc w:val="both"/>
        <w:rPr>
          <w:rFonts w:ascii="Arial" w:eastAsia="Times New Roman" w:hAnsi="Arial" w:cs="Arial"/>
          <w:sz w:val="22"/>
          <w:szCs w:val="22"/>
          <w:lang w:eastAsia="en-IN"/>
        </w:rPr>
      </w:pPr>
      <w:r w:rsidRPr="00CD634E">
        <w:rPr>
          <w:rFonts w:ascii="Arial" w:hAnsi="Arial" w:cs="Arial"/>
          <w:sz w:val="22"/>
          <w:szCs w:val="22"/>
        </w:rPr>
        <w:t xml:space="preserve">Nurses and midwives who account for 38% of India’s health workforce are </w:t>
      </w:r>
      <w:r w:rsidRPr="00CD634E">
        <w:rPr>
          <w:rFonts w:ascii="Arial" w:eastAsia="Times New Roman" w:hAnsi="Arial" w:cs="Arial"/>
          <w:sz w:val="22"/>
          <w:szCs w:val="22"/>
          <w:lang w:eastAsia="en-IN"/>
        </w:rPr>
        <w:t>well placed to reduce risk factors associated with NCDs byimplementing policies on smoke-free environments and smoking cessation interventions, promoting physical activity, providing dietary education and guidance, screening for high blood glucose and blood pressure and preventing and treating the harmful use of alcohol.</w:t>
      </w:r>
      <w:r w:rsidRPr="00CD634E">
        <w:rPr>
          <w:rFonts w:ascii="Arial" w:eastAsia="Times New Roman" w:hAnsi="Arial" w:cs="Arial"/>
          <w:sz w:val="22"/>
          <w:szCs w:val="22"/>
          <w:vertAlign w:val="superscript"/>
          <w:lang w:eastAsia="en-IN"/>
        </w:rPr>
        <w:t>5</w:t>
      </w:r>
      <w:r w:rsidRPr="00CD634E">
        <w:rPr>
          <w:rFonts w:ascii="Arial" w:hAnsi="Arial" w:cs="Arial"/>
          <w:sz w:val="22"/>
          <w:szCs w:val="22"/>
        </w:rPr>
        <w:t xml:space="preserve">The community health officers (CHO’s) heading the health and wellness centres under the Ayushman Bharat program are also well suited for this role. Currently almost 80% of the CHOs working at Health and wellness centres are nurses. However there are no studies that examine the effectiveness of nursing curriculum for training nurses on NCD risk reduction strategies. </w:t>
      </w:r>
    </w:p>
    <w:p w:rsidR="006C35F1" w:rsidRPr="00CD634E" w:rsidRDefault="006C35F1" w:rsidP="006C35F1">
      <w:pPr>
        <w:jc w:val="both"/>
        <w:rPr>
          <w:rFonts w:ascii="Arial" w:hAnsi="Arial" w:cs="Arial"/>
          <w:b/>
          <w:sz w:val="22"/>
          <w:szCs w:val="22"/>
        </w:rPr>
      </w:pPr>
    </w:p>
    <w:p w:rsidR="006C35F1" w:rsidRPr="00CD634E" w:rsidRDefault="006C35F1" w:rsidP="006C35F1">
      <w:pPr>
        <w:jc w:val="both"/>
        <w:rPr>
          <w:rFonts w:ascii="Arial" w:hAnsi="Arial" w:cs="Arial"/>
          <w:b/>
          <w:sz w:val="22"/>
          <w:szCs w:val="22"/>
        </w:rPr>
      </w:pPr>
      <w:r w:rsidRPr="00CD634E">
        <w:rPr>
          <w:rFonts w:ascii="Arial" w:hAnsi="Arial" w:cs="Arial"/>
          <w:b/>
          <w:sz w:val="22"/>
          <w:szCs w:val="22"/>
        </w:rPr>
        <w:t>Need for the study</w:t>
      </w:r>
    </w:p>
    <w:p w:rsidR="006C35F1" w:rsidRPr="00CD634E" w:rsidRDefault="006C35F1" w:rsidP="006C35F1">
      <w:pPr>
        <w:jc w:val="both"/>
        <w:rPr>
          <w:rFonts w:ascii="Arial" w:hAnsi="Arial" w:cs="Arial"/>
          <w:sz w:val="22"/>
          <w:szCs w:val="22"/>
        </w:rPr>
      </w:pPr>
      <w:r w:rsidRPr="00CD634E">
        <w:rPr>
          <w:rFonts w:ascii="Arial" w:hAnsi="Arial" w:cs="Arial"/>
          <w:sz w:val="22"/>
          <w:szCs w:val="22"/>
        </w:rPr>
        <w:t xml:space="preserve">The Indian nursing council has recently revised the Basic B.Sc. Nursing syllabus and the implementation of the revised syllabus is to commence from September 2021. The Syllabus for General Nursing and Midwifery was last revised in 2015.In view of the need for nurses to be well trained in NCD risk reduction strategies, it will be useful to map the proposed B.Sc. Nursing syllabus and existing General nursing and midwifery syllabus for theoretical and practical training for NCD risk reduction for nursing graduates. The mapping will help determine the emphases and gaps, and strategies to bridge the gaps. </w:t>
      </w:r>
    </w:p>
    <w:p w:rsidR="006C35F1" w:rsidRPr="00CD634E" w:rsidRDefault="006C35F1" w:rsidP="00990D64">
      <w:pPr>
        <w:spacing w:after="0"/>
        <w:rPr>
          <w:rFonts w:ascii="Arial" w:hAnsi="Arial" w:cs="Arial"/>
          <w:b/>
          <w:sz w:val="22"/>
          <w:szCs w:val="22"/>
        </w:rPr>
      </w:pPr>
      <w:r w:rsidRPr="00CD634E">
        <w:rPr>
          <w:rFonts w:ascii="Arial" w:hAnsi="Arial" w:cs="Arial"/>
          <w:b/>
          <w:sz w:val="22"/>
          <w:szCs w:val="22"/>
        </w:rPr>
        <w:t>Research questions</w:t>
      </w:r>
    </w:p>
    <w:p w:rsidR="006C35F1" w:rsidRPr="00CD634E" w:rsidRDefault="006C35F1" w:rsidP="00990D64">
      <w:pPr>
        <w:pStyle w:val="ListParagraph"/>
        <w:numPr>
          <w:ilvl w:val="0"/>
          <w:numId w:val="1"/>
        </w:numPr>
        <w:spacing w:after="0"/>
        <w:jc w:val="both"/>
        <w:rPr>
          <w:rFonts w:ascii="Arial" w:hAnsi="Arial" w:cs="Arial"/>
          <w:sz w:val="22"/>
          <w:szCs w:val="22"/>
        </w:rPr>
      </w:pPr>
      <w:r w:rsidRPr="00CD634E">
        <w:rPr>
          <w:rFonts w:ascii="Arial" w:hAnsi="Arial" w:cs="Arial"/>
          <w:sz w:val="22"/>
          <w:szCs w:val="22"/>
        </w:rPr>
        <w:t>What pathways of NCD Risk reduction training are incorporated in the existing General Nursing and Midwifery and revised B.Sc. Nursing syllabus prescribed by Indian nursing council?</w:t>
      </w:r>
    </w:p>
    <w:p w:rsidR="006C35F1" w:rsidRPr="00CD634E" w:rsidRDefault="006C35F1" w:rsidP="00990D64">
      <w:pPr>
        <w:numPr>
          <w:ilvl w:val="0"/>
          <w:numId w:val="1"/>
        </w:numPr>
        <w:spacing w:after="0"/>
        <w:rPr>
          <w:rFonts w:ascii="Arial" w:hAnsi="Arial" w:cs="Arial"/>
          <w:sz w:val="22"/>
          <w:szCs w:val="22"/>
        </w:rPr>
      </w:pPr>
      <w:r w:rsidRPr="00CD634E">
        <w:rPr>
          <w:rFonts w:ascii="Arial" w:hAnsi="Arial" w:cs="Arial"/>
          <w:sz w:val="22"/>
          <w:szCs w:val="22"/>
        </w:rPr>
        <w:t>How can the effectiveness of NCD risk reduction training in nursing education be reformed through reinforcement, redirection, and innovation?</w:t>
      </w:r>
    </w:p>
    <w:p w:rsidR="006C35F1" w:rsidRPr="00CD634E" w:rsidRDefault="006C35F1" w:rsidP="00990D64">
      <w:pPr>
        <w:spacing w:after="0"/>
        <w:jc w:val="both"/>
        <w:rPr>
          <w:rFonts w:ascii="Arial" w:hAnsi="Arial" w:cs="Arial"/>
          <w:b/>
          <w:sz w:val="22"/>
          <w:szCs w:val="22"/>
        </w:rPr>
      </w:pPr>
      <w:r w:rsidRPr="00CD634E">
        <w:rPr>
          <w:rFonts w:ascii="Arial" w:hAnsi="Arial" w:cs="Arial"/>
          <w:b/>
          <w:sz w:val="22"/>
          <w:szCs w:val="22"/>
        </w:rPr>
        <w:t>Objectives</w:t>
      </w:r>
    </w:p>
    <w:p w:rsidR="006C35F1" w:rsidRPr="00CD634E" w:rsidRDefault="006C35F1" w:rsidP="00990D64">
      <w:pPr>
        <w:pStyle w:val="ListParagraph"/>
        <w:numPr>
          <w:ilvl w:val="0"/>
          <w:numId w:val="2"/>
        </w:numPr>
        <w:spacing w:after="0"/>
        <w:ind w:left="360"/>
        <w:jc w:val="both"/>
        <w:rPr>
          <w:rFonts w:ascii="Arial" w:hAnsi="Arial" w:cs="Arial"/>
          <w:sz w:val="22"/>
          <w:szCs w:val="22"/>
        </w:rPr>
      </w:pPr>
      <w:r w:rsidRPr="00CD634E">
        <w:rPr>
          <w:rFonts w:ascii="Arial" w:hAnsi="Arial" w:cs="Arial"/>
          <w:sz w:val="22"/>
          <w:szCs w:val="22"/>
        </w:rPr>
        <w:lastRenderedPageBreak/>
        <w:t>To synthesize an ontological framework to analyse teaching-learning activities related to NCD risk reduction training in nursing education curriculum.</w:t>
      </w:r>
    </w:p>
    <w:p w:rsidR="006C35F1" w:rsidRPr="00CD634E" w:rsidRDefault="006C35F1" w:rsidP="00990D64">
      <w:pPr>
        <w:pStyle w:val="ListParagraph"/>
        <w:numPr>
          <w:ilvl w:val="0"/>
          <w:numId w:val="2"/>
        </w:numPr>
        <w:spacing w:after="0"/>
        <w:ind w:left="360"/>
        <w:jc w:val="both"/>
        <w:rPr>
          <w:rFonts w:ascii="Arial" w:hAnsi="Arial" w:cs="Arial"/>
          <w:sz w:val="22"/>
          <w:szCs w:val="22"/>
        </w:rPr>
      </w:pPr>
      <w:r w:rsidRPr="00CD634E">
        <w:rPr>
          <w:rFonts w:ascii="Arial" w:hAnsi="Arial" w:cs="Arial"/>
          <w:sz w:val="22"/>
          <w:szCs w:val="22"/>
        </w:rPr>
        <w:t>To map the existing nursing curriculum for undergraduate courses for NCD risk reduction training content using the framework.</w:t>
      </w:r>
    </w:p>
    <w:p w:rsidR="006C35F1" w:rsidRPr="00CD634E" w:rsidRDefault="006C35F1" w:rsidP="00990D64">
      <w:pPr>
        <w:pStyle w:val="ListParagraph"/>
        <w:numPr>
          <w:ilvl w:val="0"/>
          <w:numId w:val="2"/>
        </w:numPr>
        <w:spacing w:after="0"/>
        <w:ind w:left="360"/>
        <w:jc w:val="both"/>
        <w:rPr>
          <w:rFonts w:ascii="Arial" w:hAnsi="Arial" w:cs="Arial"/>
          <w:sz w:val="22"/>
          <w:szCs w:val="22"/>
        </w:rPr>
      </w:pPr>
      <w:r w:rsidRPr="00CD634E">
        <w:rPr>
          <w:rFonts w:ascii="Arial" w:hAnsi="Arial" w:cs="Arial"/>
          <w:sz w:val="22"/>
          <w:szCs w:val="22"/>
        </w:rPr>
        <w:t>To determine the emphases and gaps and strategies to bridge the gaps.</w:t>
      </w:r>
    </w:p>
    <w:p w:rsidR="00B5383E" w:rsidRPr="00CD634E" w:rsidRDefault="00B5383E" w:rsidP="00990D64">
      <w:pPr>
        <w:pStyle w:val="Heading1"/>
        <w:spacing w:before="0" w:after="0"/>
        <w:rPr>
          <w:rFonts w:ascii="Arial" w:hAnsi="Arial" w:cs="Arial"/>
          <w:sz w:val="22"/>
          <w:szCs w:val="22"/>
          <w:lang w:val="en-US"/>
        </w:rPr>
      </w:pPr>
    </w:p>
    <w:p w:rsidR="006C35F1" w:rsidRPr="00CD634E" w:rsidRDefault="006C35F1" w:rsidP="00990D64">
      <w:pPr>
        <w:pStyle w:val="Heading1"/>
        <w:spacing w:before="0" w:after="0"/>
        <w:rPr>
          <w:rFonts w:ascii="Arial" w:hAnsi="Arial" w:cs="Arial"/>
          <w:sz w:val="22"/>
          <w:szCs w:val="22"/>
          <w:lang w:val="en-US"/>
        </w:rPr>
      </w:pPr>
      <w:r w:rsidRPr="00CD634E">
        <w:rPr>
          <w:rFonts w:ascii="Arial" w:hAnsi="Arial" w:cs="Arial"/>
          <w:sz w:val="22"/>
          <w:szCs w:val="22"/>
          <w:lang w:val="en-US"/>
        </w:rPr>
        <w:t>Framework</w:t>
      </w:r>
    </w:p>
    <w:p w:rsidR="006C35F1" w:rsidRPr="00CD634E" w:rsidRDefault="006C35F1" w:rsidP="006C35F1">
      <w:pPr>
        <w:jc w:val="both"/>
        <w:rPr>
          <w:rFonts w:ascii="Arial" w:hAnsi="Arial" w:cs="Arial"/>
          <w:sz w:val="22"/>
          <w:szCs w:val="22"/>
          <w:lang w:val="en-US"/>
        </w:rPr>
      </w:pPr>
      <w:r w:rsidRPr="00CD634E">
        <w:rPr>
          <w:rFonts w:ascii="Arial" w:hAnsi="Arial" w:cs="Arial"/>
          <w:sz w:val="22"/>
          <w:szCs w:val="22"/>
          <w:lang w:val="en-US"/>
        </w:rPr>
        <w:t xml:space="preserve">The concept of risk reduction training for NCDs in Nursing education may be visualized using the ontological framework in Figure 1. The common NCDs are listed in the last column, and the taxonomy of risks is shown in the second column from the right. The object of risk reduction training is to reduce the individual and combination of risks affecting the onset and progression of an NCD or a combination of them in a patient. The potential combinations of NCDs and risks are many and their effects on a patient may be complex. </w:t>
      </w:r>
    </w:p>
    <w:p w:rsidR="006C35F1" w:rsidRPr="00CD634E" w:rsidRDefault="006C35F1" w:rsidP="006C35F1">
      <w:pPr>
        <w:jc w:val="both"/>
        <w:rPr>
          <w:rFonts w:ascii="Arial" w:hAnsi="Arial" w:cs="Arial"/>
          <w:sz w:val="22"/>
          <w:szCs w:val="22"/>
          <w:lang w:val="en-US"/>
        </w:rPr>
      </w:pPr>
      <w:r w:rsidRPr="00CD634E">
        <w:rPr>
          <w:rFonts w:ascii="Arial" w:hAnsi="Arial" w:cs="Arial"/>
          <w:sz w:val="22"/>
          <w:szCs w:val="22"/>
          <w:lang w:val="en-US"/>
        </w:rPr>
        <w:t>The nursing curriculum should teach the student to identify the risks, intervene to reduce them, and involvement to manage them. The three types of training and the two types of education are listed in the first two columns of the framework. Further, the training in nursing should be incorporated in the curriculum, clinical training, and field practice. The three sub-types of education are shown in the framework under nursing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6"/>
      </w:tblGrid>
      <w:tr w:rsidR="00F15722" w:rsidRPr="00CD634E" w:rsidTr="004E5119">
        <w:tc>
          <w:tcPr>
            <w:tcW w:w="9016" w:type="dxa"/>
          </w:tcPr>
          <w:p w:rsidR="00F15722" w:rsidRPr="00CD634E" w:rsidRDefault="00E93B35" w:rsidP="00E93B35">
            <w:pPr>
              <w:jc w:val="center"/>
              <w:rPr>
                <w:rFonts w:ascii="Arial" w:hAnsi="Arial" w:cs="Arial"/>
                <w:lang w:val="en-US"/>
              </w:rPr>
            </w:pPr>
            <w:r w:rsidRPr="00CD634E">
              <w:rPr>
                <w:rFonts w:ascii="Arial" w:hAnsi="Arial" w:cs="Arial"/>
                <w:noProof/>
                <w:lang w:val="en-US"/>
              </w:rPr>
              <w:drawing>
                <wp:inline distT="0" distB="0" distL="0" distR="0">
                  <wp:extent cx="5200650" cy="40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4010025"/>
                          </a:xfrm>
                          <a:prstGeom prst="rect">
                            <a:avLst/>
                          </a:prstGeom>
                          <a:noFill/>
                          <a:ln>
                            <a:noFill/>
                          </a:ln>
                        </pic:spPr>
                      </pic:pic>
                    </a:graphicData>
                  </a:graphic>
                </wp:inline>
              </w:drawing>
            </w:r>
          </w:p>
        </w:tc>
      </w:tr>
      <w:tr w:rsidR="00F15722" w:rsidRPr="00CD634E" w:rsidTr="004E5119">
        <w:tc>
          <w:tcPr>
            <w:tcW w:w="9016" w:type="dxa"/>
          </w:tcPr>
          <w:p w:rsidR="00F15722" w:rsidRPr="00CD634E" w:rsidRDefault="00F15722" w:rsidP="00F15722">
            <w:pPr>
              <w:jc w:val="center"/>
              <w:rPr>
                <w:rFonts w:ascii="Arial" w:hAnsi="Arial" w:cs="Arial"/>
                <w:b/>
                <w:lang w:val="en-US"/>
              </w:rPr>
            </w:pPr>
            <w:r w:rsidRPr="00CD634E">
              <w:rPr>
                <w:rFonts w:ascii="Arial" w:hAnsi="Arial" w:cs="Arial"/>
                <w:b/>
                <w:lang w:val="en-US"/>
              </w:rPr>
              <w:t>Figure 1: Ontology of Risk Reduction Training for NCDs in Nursing Education</w:t>
            </w:r>
          </w:p>
        </w:tc>
      </w:tr>
    </w:tbl>
    <w:p w:rsidR="006C35F1" w:rsidRPr="00CD634E" w:rsidRDefault="006C35F1" w:rsidP="006C35F1">
      <w:pPr>
        <w:jc w:val="both"/>
        <w:rPr>
          <w:rFonts w:ascii="Arial" w:hAnsi="Arial" w:cs="Arial"/>
          <w:sz w:val="22"/>
          <w:szCs w:val="22"/>
          <w:lang w:val="en-US"/>
        </w:rPr>
      </w:pPr>
      <w:r w:rsidRPr="00CD634E">
        <w:rPr>
          <w:rFonts w:ascii="Arial" w:hAnsi="Arial" w:cs="Arial"/>
          <w:sz w:val="22"/>
          <w:szCs w:val="22"/>
          <w:lang w:val="en-US"/>
        </w:rPr>
        <w:t>The framework encapsulates 3*3*15*4 = 540 pathways for risk reduction training for NCDs in nursing education. Each pathway is a concatenation of an element from each column with the adjacent words/phrases. Three illustrative pathways are:</w:t>
      </w:r>
    </w:p>
    <w:p w:rsidR="006C35F1" w:rsidRPr="00CD634E" w:rsidRDefault="006C35F1" w:rsidP="006C35F1">
      <w:pPr>
        <w:pStyle w:val="ListParagraph"/>
        <w:numPr>
          <w:ilvl w:val="0"/>
          <w:numId w:val="3"/>
        </w:numPr>
        <w:rPr>
          <w:rFonts w:ascii="Arial" w:hAnsi="Arial" w:cs="Arial"/>
          <w:sz w:val="22"/>
          <w:szCs w:val="22"/>
          <w:lang w:val="en-US"/>
        </w:rPr>
      </w:pPr>
      <w:r w:rsidRPr="00CD634E">
        <w:rPr>
          <w:rFonts w:ascii="Arial" w:hAnsi="Arial" w:cs="Arial"/>
          <w:sz w:val="22"/>
          <w:szCs w:val="22"/>
          <w:lang w:val="en-US"/>
        </w:rPr>
        <w:t>Identification training in curricular nursing education for managing biological-family history risk of diabetes mellitus.</w:t>
      </w:r>
    </w:p>
    <w:p w:rsidR="006C35F1" w:rsidRPr="00CD634E" w:rsidRDefault="006C35F1" w:rsidP="006C35F1">
      <w:pPr>
        <w:pStyle w:val="ListParagraph"/>
        <w:numPr>
          <w:ilvl w:val="0"/>
          <w:numId w:val="3"/>
        </w:numPr>
        <w:rPr>
          <w:rFonts w:ascii="Arial" w:hAnsi="Arial" w:cs="Arial"/>
          <w:sz w:val="22"/>
          <w:szCs w:val="22"/>
          <w:lang w:val="en-US"/>
        </w:rPr>
      </w:pPr>
      <w:r w:rsidRPr="00CD634E">
        <w:rPr>
          <w:rFonts w:ascii="Arial" w:hAnsi="Arial" w:cs="Arial"/>
          <w:sz w:val="22"/>
          <w:szCs w:val="22"/>
          <w:lang w:val="en-US"/>
        </w:rPr>
        <w:t>Intervention training in clinical nursing education for managing behavioral-diet risk of cardiovascular diseases.</w:t>
      </w:r>
    </w:p>
    <w:p w:rsidR="006C35F1" w:rsidRPr="00CD634E" w:rsidRDefault="006C35F1" w:rsidP="006C35F1">
      <w:pPr>
        <w:pStyle w:val="ListParagraph"/>
        <w:numPr>
          <w:ilvl w:val="0"/>
          <w:numId w:val="3"/>
        </w:numPr>
        <w:rPr>
          <w:rFonts w:ascii="Arial" w:hAnsi="Arial" w:cs="Arial"/>
          <w:sz w:val="22"/>
          <w:szCs w:val="22"/>
          <w:lang w:val="en-US"/>
        </w:rPr>
      </w:pPr>
      <w:r w:rsidRPr="00CD634E">
        <w:rPr>
          <w:rFonts w:ascii="Arial" w:hAnsi="Arial" w:cs="Arial"/>
          <w:sz w:val="22"/>
          <w:szCs w:val="22"/>
          <w:lang w:val="en-US"/>
        </w:rPr>
        <w:lastRenderedPageBreak/>
        <w:t>Involvement training in field nursing education for managing environmental-food additives risk of cancers.</w:t>
      </w:r>
    </w:p>
    <w:p w:rsidR="006C35F1" w:rsidRPr="00CD634E" w:rsidRDefault="006C35F1" w:rsidP="006C35F1">
      <w:pPr>
        <w:jc w:val="both"/>
        <w:rPr>
          <w:rFonts w:ascii="Arial" w:hAnsi="Arial" w:cs="Arial"/>
          <w:sz w:val="22"/>
          <w:szCs w:val="22"/>
          <w:lang w:val="en-US"/>
        </w:rPr>
      </w:pPr>
      <w:r w:rsidRPr="00CD634E">
        <w:rPr>
          <w:rFonts w:ascii="Arial" w:hAnsi="Arial" w:cs="Arial"/>
          <w:sz w:val="22"/>
          <w:szCs w:val="22"/>
          <w:lang w:val="en-US"/>
        </w:rPr>
        <w:t>The risk reduction training pathways for NCDs in nursing education must correspond to the evidence related to: (a) the importance of risk-NCD combinations, and (b) effectiveness of training-education combinations for a risk-NCD combination. For example, involvement training in field education may be most effective for managing environmental-indoor smoke risk of chronic respiratory diseases. The research will seek to determine: (a) the effective pathways to reinforce, (b) the ineffective pathways to redirect, and (c) the overlooked pathways to experiment and innovate.</w:t>
      </w:r>
    </w:p>
    <w:p w:rsidR="006C35F1" w:rsidRPr="00CD634E" w:rsidRDefault="006C35F1" w:rsidP="006C35F1">
      <w:pPr>
        <w:pStyle w:val="Heading1"/>
        <w:rPr>
          <w:rFonts w:ascii="Arial" w:hAnsi="Arial" w:cs="Arial"/>
          <w:sz w:val="22"/>
          <w:szCs w:val="22"/>
        </w:rPr>
      </w:pPr>
      <w:r w:rsidRPr="00CD634E">
        <w:rPr>
          <w:rFonts w:ascii="Arial" w:hAnsi="Arial" w:cs="Arial"/>
          <w:sz w:val="22"/>
          <w:szCs w:val="22"/>
        </w:rPr>
        <w:t>Research Method</w:t>
      </w:r>
    </w:p>
    <w:p w:rsidR="006C35F1" w:rsidRPr="00CD634E" w:rsidRDefault="006C35F1" w:rsidP="006C35F1">
      <w:pPr>
        <w:rPr>
          <w:rFonts w:ascii="Arial" w:hAnsi="Arial" w:cs="Arial"/>
          <w:sz w:val="22"/>
          <w:szCs w:val="22"/>
        </w:rPr>
      </w:pPr>
      <w:r w:rsidRPr="00CD634E">
        <w:rPr>
          <w:rFonts w:ascii="Arial" w:hAnsi="Arial" w:cs="Arial"/>
          <w:sz w:val="22"/>
          <w:szCs w:val="22"/>
        </w:rPr>
        <w:t>First, we shall validate the framework with experts from nursing education and National NCD prevention and control program by conducting an online round table discussion.</w:t>
      </w:r>
    </w:p>
    <w:p w:rsidR="006C35F1" w:rsidRPr="00CD634E" w:rsidRDefault="006C35F1" w:rsidP="006C35F1">
      <w:pPr>
        <w:jc w:val="both"/>
        <w:rPr>
          <w:rFonts w:ascii="Arial" w:hAnsi="Arial" w:cs="Arial"/>
          <w:sz w:val="22"/>
          <w:szCs w:val="22"/>
        </w:rPr>
      </w:pPr>
      <w:r w:rsidRPr="00CD634E">
        <w:rPr>
          <w:rFonts w:ascii="Arial" w:hAnsi="Arial" w:cs="Arial"/>
          <w:sz w:val="22"/>
          <w:szCs w:val="22"/>
        </w:rPr>
        <w:t xml:space="preserve">Second, we shall map the current nursing curricula for undergraduate and diploma nursing programs prescribed by Indian Nursing Council onto the framework. The mapping will highlight the elements and themes in the framework that are heavily emphasised in the curricula, lightly emphasised, and not included. </w:t>
      </w:r>
    </w:p>
    <w:p w:rsidR="006C35F1" w:rsidRPr="00CD634E" w:rsidRDefault="006C35F1" w:rsidP="006C35F1">
      <w:pPr>
        <w:jc w:val="both"/>
        <w:rPr>
          <w:rFonts w:ascii="Arial" w:hAnsi="Arial" w:cs="Arial"/>
          <w:sz w:val="22"/>
          <w:szCs w:val="22"/>
        </w:rPr>
      </w:pPr>
      <w:r w:rsidRPr="00CD634E">
        <w:rPr>
          <w:rFonts w:ascii="Arial" w:hAnsi="Arial" w:cs="Arial"/>
          <w:sz w:val="22"/>
          <w:szCs w:val="22"/>
        </w:rPr>
        <w:t>Third, based on the analysis of the emphases and gaps we shall propose strategies to reinforce, redirect, and innovate.</w:t>
      </w:r>
    </w:p>
    <w:p w:rsidR="00793B95" w:rsidRPr="00CD634E" w:rsidRDefault="00793B95" w:rsidP="00793B95">
      <w:pPr>
        <w:spacing w:after="0" w:line="360" w:lineRule="auto"/>
        <w:jc w:val="both"/>
        <w:rPr>
          <w:rFonts w:ascii="Arial" w:eastAsiaTheme="minorHAnsi" w:hAnsi="Arial" w:cs="Arial"/>
          <w:b/>
          <w:sz w:val="22"/>
          <w:szCs w:val="22"/>
        </w:rPr>
      </w:pPr>
      <w:r w:rsidRPr="00CD634E">
        <w:rPr>
          <w:rFonts w:ascii="Arial" w:eastAsiaTheme="minorHAnsi" w:hAnsi="Arial" w:cs="Arial"/>
          <w:b/>
          <w:sz w:val="22"/>
          <w:szCs w:val="22"/>
        </w:rPr>
        <w:t>Timeline of the study</w:t>
      </w:r>
    </w:p>
    <w:p w:rsidR="00793B95" w:rsidRPr="00CD634E" w:rsidRDefault="00793B95" w:rsidP="00793B95">
      <w:pPr>
        <w:spacing w:after="0"/>
        <w:jc w:val="both"/>
        <w:rPr>
          <w:rFonts w:ascii="Arial" w:eastAsiaTheme="minorHAnsi" w:hAnsi="Arial" w:cs="Arial"/>
          <w:sz w:val="22"/>
          <w:szCs w:val="22"/>
        </w:rPr>
      </w:pPr>
      <w:r w:rsidRPr="00CD634E">
        <w:rPr>
          <w:rFonts w:ascii="Arial" w:eastAsiaTheme="minorHAnsi" w:hAnsi="Arial" w:cs="Arial"/>
          <w:sz w:val="22"/>
          <w:szCs w:val="22"/>
        </w:rPr>
        <w:tab/>
        <w:t>The study duration as stipulated by IHSC is of 12 weeks. The timeline for project activities are planned as given below;</w:t>
      </w:r>
    </w:p>
    <w:p w:rsidR="00793B95" w:rsidRPr="00CD634E" w:rsidRDefault="00793B95" w:rsidP="00793B95">
      <w:pPr>
        <w:spacing w:after="0"/>
        <w:jc w:val="both"/>
        <w:rPr>
          <w:rFonts w:ascii="Arial" w:eastAsiaTheme="minorHAnsi" w:hAnsi="Arial" w:cs="Arial"/>
          <w:color w:val="FF0000"/>
          <w:sz w:val="22"/>
          <w:szCs w:val="22"/>
        </w:rPr>
      </w:pPr>
    </w:p>
    <w:tbl>
      <w:tblPr>
        <w:tblStyle w:val="TableGrid1"/>
        <w:tblW w:w="0" w:type="auto"/>
        <w:jc w:val="center"/>
        <w:tblLook w:val="04A0"/>
      </w:tblPr>
      <w:tblGrid>
        <w:gridCol w:w="671"/>
        <w:gridCol w:w="5339"/>
        <w:gridCol w:w="3006"/>
      </w:tblGrid>
      <w:tr w:rsidR="00793B95" w:rsidRPr="00CD634E" w:rsidTr="00793B95">
        <w:trPr>
          <w:jc w:val="center"/>
        </w:trPr>
        <w:tc>
          <w:tcPr>
            <w:tcW w:w="671" w:type="dxa"/>
            <w:vAlign w:val="center"/>
          </w:tcPr>
          <w:p w:rsidR="00793B95" w:rsidRPr="00CD634E" w:rsidRDefault="00793B95" w:rsidP="00895446">
            <w:pPr>
              <w:spacing w:after="160"/>
              <w:jc w:val="center"/>
              <w:rPr>
                <w:rFonts w:ascii="Arial" w:eastAsiaTheme="minorHAnsi" w:hAnsi="Arial" w:cs="Arial"/>
                <w:b/>
              </w:rPr>
            </w:pPr>
            <w:r w:rsidRPr="00CD634E">
              <w:rPr>
                <w:rFonts w:ascii="Arial" w:eastAsiaTheme="minorHAnsi" w:hAnsi="Arial" w:cs="Arial"/>
                <w:b/>
              </w:rPr>
              <w:t>Sl.</w:t>
            </w:r>
          </w:p>
          <w:p w:rsidR="00793B95" w:rsidRPr="00CD634E" w:rsidRDefault="00793B95" w:rsidP="00895446">
            <w:pPr>
              <w:spacing w:after="160"/>
              <w:jc w:val="center"/>
              <w:rPr>
                <w:rFonts w:ascii="Arial" w:eastAsiaTheme="minorHAnsi" w:hAnsi="Arial" w:cs="Arial"/>
                <w:b/>
              </w:rPr>
            </w:pPr>
            <w:r w:rsidRPr="00CD634E">
              <w:rPr>
                <w:rFonts w:ascii="Arial" w:eastAsiaTheme="minorHAnsi" w:hAnsi="Arial" w:cs="Arial"/>
                <w:b/>
              </w:rPr>
              <w:t>No.</w:t>
            </w:r>
          </w:p>
        </w:tc>
        <w:tc>
          <w:tcPr>
            <w:tcW w:w="5339" w:type="dxa"/>
            <w:vAlign w:val="center"/>
          </w:tcPr>
          <w:p w:rsidR="00793B95" w:rsidRPr="00CD634E" w:rsidRDefault="00793B95" w:rsidP="00895446">
            <w:pPr>
              <w:spacing w:after="160"/>
              <w:jc w:val="center"/>
              <w:rPr>
                <w:rFonts w:ascii="Arial" w:eastAsiaTheme="minorHAnsi" w:hAnsi="Arial" w:cs="Arial"/>
                <w:b/>
              </w:rPr>
            </w:pPr>
            <w:r w:rsidRPr="00CD634E">
              <w:rPr>
                <w:rFonts w:ascii="Arial" w:eastAsiaTheme="minorHAnsi" w:hAnsi="Arial" w:cs="Arial"/>
                <w:b/>
              </w:rPr>
              <w:t>Activity</w:t>
            </w:r>
          </w:p>
        </w:tc>
        <w:tc>
          <w:tcPr>
            <w:tcW w:w="3006" w:type="dxa"/>
            <w:vAlign w:val="center"/>
          </w:tcPr>
          <w:p w:rsidR="00793B95" w:rsidRPr="00CD634E" w:rsidRDefault="00793B95" w:rsidP="00895446">
            <w:pPr>
              <w:spacing w:after="160"/>
              <w:jc w:val="center"/>
              <w:rPr>
                <w:rFonts w:ascii="Arial" w:eastAsiaTheme="minorHAnsi" w:hAnsi="Arial" w:cs="Arial"/>
                <w:b/>
              </w:rPr>
            </w:pPr>
            <w:r w:rsidRPr="00CD634E">
              <w:rPr>
                <w:rFonts w:ascii="Arial" w:eastAsiaTheme="minorHAnsi" w:hAnsi="Arial" w:cs="Arial"/>
                <w:b/>
              </w:rPr>
              <w:t>Duration</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1</w:t>
            </w:r>
          </w:p>
        </w:tc>
        <w:tc>
          <w:tcPr>
            <w:tcW w:w="5339" w:type="dxa"/>
          </w:tcPr>
          <w:p w:rsidR="00793B95" w:rsidRPr="00CD634E" w:rsidRDefault="00793B95" w:rsidP="00895446">
            <w:pPr>
              <w:spacing w:after="160"/>
              <w:jc w:val="both"/>
              <w:rPr>
                <w:rFonts w:ascii="Arial" w:eastAsiaTheme="minorHAnsi" w:hAnsi="Arial" w:cs="Arial"/>
              </w:rPr>
            </w:pPr>
            <w:r w:rsidRPr="00CD634E">
              <w:rPr>
                <w:rFonts w:ascii="Arial" w:eastAsiaTheme="minorHAnsi" w:hAnsi="Arial" w:cs="Arial"/>
              </w:rPr>
              <w:t>Validation of framework with subject experts</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2 weeks</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2</w:t>
            </w:r>
          </w:p>
        </w:tc>
        <w:tc>
          <w:tcPr>
            <w:tcW w:w="5339" w:type="dxa"/>
          </w:tcPr>
          <w:p w:rsidR="00793B95" w:rsidRPr="00CD634E" w:rsidRDefault="00793B95" w:rsidP="00895446">
            <w:pPr>
              <w:spacing w:after="160"/>
              <w:jc w:val="both"/>
              <w:rPr>
                <w:rFonts w:ascii="Arial" w:eastAsiaTheme="minorHAnsi" w:hAnsi="Arial" w:cs="Arial"/>
              </w:rPr>
            </w:pPr>
            <w:r w:rsidRPr="00CD634E">
              <w:rPr>
                <w:rFonts w:ascii="Arial" w:eastAsiaTheme="minorHAnsi" w:hAnsi="Arial" w:cs="Arial"/>
              </w:rPr>
              <w:t>Development of coding categories</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1 week</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3</w:t>
            </w:r>
          </w:p>
        </w:tc>
        <w:tc>
          <w:tcPr>
            <w:tcW w:w="5339" w:type="dxa"/>
          </w:tcPr>
          <w:p w:rsidR="00793B95" w:rsidRPr="00CD634E" w:rsidRDefault="00793B95" w:rsidP="00895446">
            <w:pPr>
              <w:spacing w:after="160"/>
              <w:jc w:val="both"/>
              <w:rPr>
                <w:rFonts w:ascii="Arial" w:eastAsiaTheme="minorHAnsi" w:hAnsi="Arial" w:cs="Arial"/>
              </w:rPr>
            </w:pPr>
            <w:r w:rsidRPr="00CD634E">
              <w:rPr>
                <w:rFonts w:ascii="Arial" w:eastAsiaTheme="minorHAnsi" w:hAnsi="Arial" w:cs="Arial"/>
              </w:rPr>
              <w:t>Coding of B.Sc. Nursing and Diploma Nursing syllabus</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3 weeks</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4</w:t>
            </w:r>
          </w:p>
        </w:tc>
        <w:tc>
          <w:tcPr>
            <w:tcW w:w="5339" w:type="dxa"/>
          </w:tcPr>
          <w:p w:rsidR="00793B95" w:rsidRPr="00CD634E" w:rsidRDefault="00793B95" w:rsidP="00895446">
            <w:pPr>
              <w:spacing w:after="160"/>
              <w:jc w:val="both"/>
              <w:rPr>
                <w:rFonts w:ascii="Arial" w:eastAsiaTheme="minorHAnsi" w:hAnsi="Arial" w:cs="Arial"/>
              </w:rPr>
            </w:pPr>
            <w:r w:rsidRPr="00CD634E">
              <w:rPr>
                <w:rFonts w:ascii="Arial" w:eastAsiaTheme="minorHAnsi" w:hAnsi="Arial" w:cs="Arial"/>
              </w:rPr>
              <w:t xml:space="preserve">Identification of themes and elements that are heavily </w:t>
            </w:r>
            <w:r w:rsidR="00D338FB" w:rsidRPr="00CD634E">
              <w:rPr>
                <w:rFonts w:ascii="Arial" w:eastAsiaTheme="minorHAnsi" w:hAnsi="Arial" w:cs="Arial"/>
              </w:rPr>
              <w:t>emphasized, lightly emphasized and not included</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2 weeks</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7</w:t>
            </w:r>
          </w:p>
        </w:tc>
        <w:tc>
          <w:tcPr>
            <w:tcW w:w="5339" w:type="dxa"/>
          </w:tcPr>
          <w:p w:rsidR="00793B95" w:rsidRPr="00CD634E" w:rsidRDefault="00793B95" w:rsidP="00895446">
            <w:pPr>
              <w:spacing w:after="160"/>
              <w:jc w:val="both"/>
              <w:rPr>
                <w:rFonts w:ascii="Arial" w:eastAsiaTheme="minorHAnsi" w:hAnsi="Arial" w:cs="Arial"/>
              </w:rPr>
            </w:pPr>
            <w:r w:rsidRPr="00CD634E">
              <w:rPr>
                <w:rFonts w:ascii="Arial" w:eastAsiaTheme="minorHAnsi" w:hAnsi="Arial" w:cs="Arial"/>
              </w:rPr>
              <w:t>Preparation of first draft report</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3weeks</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8</w:t>
            </w:r>
          </w:p>
        </w:tc>
        <w:tc>
          <w:tcPr>
            <w:tcW w:w="5339" w:type="dxa"/>
          </w:tcPr>
          <w:p w:rsidR="00793B95" w:rsidRPr="00CD634E" w:rsidRDefault="00950C19" w:rsidP="00895446">
            <w:pPr>
              <w:spacing w:after="160"/>
              <w:jc w:val="both"/>
              <w:rPr>
                <w:rFonts w:ascii="Arial" w:eastAsiaTheme="minorHAnsi" w:hAnsi="Arial" w:cs="Arial"/>
              </w:rPr>
            </w:pPr>
            <w:r w:rsidRPr="00CD634E">
              <w:rPr>
                <w:rFonts w:ascii="Arial" w:eastAsiaTheme="minorHAnsi" w:hAnsi="Arial" w:cs="Arial"/>
              </w:rPr>
              <w:t>P</w:t>
            </w:r>
            <w:r w:rsidR="00793B95" w:rsidRPr="00CD634E">
              <w:rPr>
                <w:rFonts w:ascii="Arial" w:eastAsiaTheme="minorHAnsi" w:hAnsi="Arial" w:cs="Arial"/>
              </w:rPr>
              <w:t>reparation of final report</w:t>
            </w:r>
          </w:p>
        </w:tc>
        <w:tc>
          <w:tcPr>
            <w:tcW w:w="3006" w:type="dxa"/>
          </w:tcPr>
          <w:p w:rsidR="00793B95" w:rsidRPr="00CD634E" w:rsidRDefault="00793B95" w:rsidP="00895446">
            <w:pPr>
              <w:spacing w:after="160"/>
              <w:jc w:val="center"/>
              <w:rPr>
                <w:rFonts w:ascii="Arial" w:eastAsiaTheme="minorHAnsi" w:hAnsi="Arial" w:cs="Arial"/>
              </w:rPr>
            </w:pPr>
            <w:r w:rsidRPr="00CD634E">
              <w:rPr>
                <w:rFonts w:ascii="Arial" w:eastAsiaTheme="minorHAnsi" w:hAnsi="Arial" w:cs="Arial"/>
              </w:rPr>
              <w:t>1 week</w:t>
            </w:r>
          </w:p>
        </w:tc>
      </w:tr>
      <w:tr w:rsidR="00793B95" w:rsidRPr="00CD634E" w:rsidTr="00793B95">
        <w:trPr>
          <w:jc w:val="center"/>
        </w:trPr>
        <w:tc>
          <w:tcPr>
            <w:tcW w:w="671" w:type="dxa"/>
          </w:tcPr>
          <w:p w:rsidR="00793B95" w:rsidRPr="00CD634E" w:rsidRDefault="00793B95" w:rsidP="00895446">
            <w:pPr>
              <w:spacing w:after="160"/>
              <w:jc w:val="center"/>
              <w:rPr>
                <w:rFonts w:ascii="Arial" w:eastAsiaTheme="minorHAnsi" w:hAnsi="Arial" w:cs="Arial"/>
              </w:rPr>
            </w:pPr>
          </w:p>
        </w:tc>
        <w:tc>
          <w:tcPr>
            <w:tcW w:w="5339" w:type="dxa"/>
          </w:tcPr>
          <w:p w:rsidR="00793B95" w:rsidRPr="00CD634E" w:rsidRDefault="00793B95" w:rsidP="00895446">
            <w:pPr>
              <w:spacing w:after="160"/>
              <w:jc w:val="both"/>
              <w:rPr>
                <w:rFonts w:ascii="Arial" w:eastAsiaTheme="minorHAnsi" w:hAnsi="Arial" w:cs="Arial"/>
              </w:rPr>
            </w:pPr>
          </w:p>
        </w:tc>
        <w:tc>
          <w:tcPr>
            <w:tcW w:w="3006" w:type="dxa"/>
          </w:tcPr>
          <w:p w:rsidR="00793B95" w:rsidRPr="00CD634E" w:rsidRDefault="00793B95" w:rsidP="00895446">
            <w:pPr>
              <w:spacing w:after="160"/>
              <w:jc w:val="center"/>
              <w:rPr>
                <w:rFonts w:ascii="Arial" w:eastAsiaTheme="minorHAnsi" w:hAnsi="Arial" w:cs="Arial"/>
                <w:b/>
              </w:rPr>
            </w:pPr>
            <w:r w:rsidRPr="00CD634E">
              <w:rPr>
                <w:rFonts w:ascii="Arial" w:eastAsiaTheme="minorHAnsi" w:hAnsi="Arial" w:cs="Arial"/>
                <w:b/>
              </w:rPr>
              <w:t>12 weeks</w:t>
            </w:r>
          </w:p>
        </w:tc>
      </w:tr>
    </w:tbl>
    <w:p w:rsidR="00F81266" w:rsidRPr="00CD634E" w:rsidRDefault="00F81266" w:rsidP="006C35F1">
      <w:pPr>
        <w:jc w:val="both"/>
        <w:rPr>
          <w:rFonts w:ascii="Arial" w:hAnsi="Arial" w:cs="Arial"/>
          <w:b/>
          <w:sz w:val="22"/>
          <w:szCs w:val="22"/>
        </w:rPr>
      </w:pPr>
    </w:p>
    <w:p w:rsidR="00F81266" w:rsidRPr="00CD634E" w:rsidRDefault="00F81266" w:rsidP="006C35F1">
      <w:pPr>
        <w:jc w:val="both"/>
        <w:rPr>
          <w:rFonts w:ascii="Arial" w:hAnsi="Arial" w:cs="Arial"/>
          <w:b/>
          <w:sz w:val="22"/>
          <w:szCs w:val="22"/>
        </w:rPr>
      </w:pPr>
    </w:p>
    <w:p w:rsidR="001F230C" w:rsidRPr="00CD634E" w:rsidRDefault="001F230C" w:rsidP="006C35F1">
      <w:pPr>
        <w:jc w:val="both"/>
        <w:rPr>
          <w:rFonts w:ascii="Arial" w:hAnsi="Arial" w:cs="Arial"/>
          <w:b/>
          <w:sz w:val="22"/>
          <w:szCs w:val="22"/>
        </w:rPr>
      </w:pPr>
    </w:p>
    <w:p w:rsidR="006C35F1" w:rsidRPr="00CD634E" w:rsidRDefault="006C35F1" w:rsidP="006C35F1">
      <w:pPr>
        <w:jc w:val="both"/>
        <w:rPr>
          <w:rFonts w:ascii="Arial" w:hAnsi="Arial" w:cs="Arial"/>
          <w:b/>
          <w:sz w:val="22"/>
          <w:szCs w:val="22"/>
        </w:rPr>
      </w:pPr>
      <w:r w:rsidRPr="00CD634E">
        <w:rPr>
          <w:rFonts w:ascii="Arial" w:hAnsi="Arial" w:cs="Arial"/>
          <w:b/>
          <w:sz w:val="22"/>
          <w:szCs w:val="22"/>
        </w:rPr>
        <w:t>References</w:t>
      </w:r>
    </w:p>
    <w:p w:rsidR="006C35F1" w:rsidRPr="00CD634E" w:rsidRDefault="006C35F1" w:rsidP="006C35F1">
      <w:pPr>
        <w:pStyle w:val="ListParagraph"/>
        <w:numPr>
          <w:ilvl w:val="0"/>
          <w:numId w:val="4"/>
        </w:numPr>
        <w:jc w:val="both"/>
        <w:rPr>
          <w:rFonts w:ascii="Arial" w:hAnsi="Arial" w:cs="Arial"/>
          <w:b/>
          <w:sz w:val="22"/>
          <w:szCs w:val="22"/>
        </w:rPr>
      </w:pPr>
      <w:r w:rsidRPr="00CD634E">
        <w:rPr>
          <w:rFonts w:ascii="Arial" w:eastAsia="Times New Roman" w:hAnsi="Arial" w:cs="Arial"/>
          <w:sz w:val="22"/>
          <w:szCs w:val="22"/>
          <w:lang w:eastAsia="en-IN"/>
        </w:rPr>
        <w:t>Global status report on noncomm</w:t>
      </w:r>
      <w:bookmarkStart w:id="0" w:name="_GoBack"/>
      <w:bookmarkEnd w:id="0"/>
      <w:r w:rsidRPr="00CD634E">
        <w:rPr>
          <w:rFonts w:ascii="Arial" w:eastAsia="Times New Roman" w:hAnsi="Arial" w:cs="Arial"/>
          <w:sz w:val="22"/>
          <w:szCs w:val="22"/>
          <w:lang w:eastAsia="en-IN"/>
        </w:rPr>
        <w:t>unicable diseases 2014.WHO</w:t>
      </w:r>
    </w:p>
    <w:p w:rsidR="006C35F1" w:rsidRPr="00CD634E" w:rsidRDefault="006C35F1" w:rsidP="006C35F1">
      <w:pPr>
        <w:pStyle w:val="ListParagraph"/>
        <w:numPr>
          <w:ilvl w:val="0"/>
          <w:numId w:val="4"/>
        </w:numPr>
        <w:jc w:val="both"/>
        <w:rPr>
          <w:rFonts w:ascii="Arial" w:hAnsi="Arial" w:cs="Arial"/>
          <w:b/>
          <w:sz w:val="22"/>
          <w:szCs w:val="22"/>
        </w:rPr>
      </w:pPr>
      <w:r w:rsidRPr="00CD634E">
        <w:rPr>
          <w:rFonts w:ascii="Arial" w:eastAsia="Times New Roman" w:hAnsi="Arial" w:cs="Arial"/>
          <w:sz w:val="22"/>
          <w:szCs w:val="22"/>
          <w:lang w:eastAsia="en-IN"/>
        </w:rPr>
        <w:t>National Multisectoral Action Plan for Prevention and Control of Common NCDs (2017-2022)MOHF,GOI</w:t>
      </w:r>
    </w:p>
    <w:p w:rsidR="006C35F1" w:rsidRPr="00CD634E" w:rsidRDefault="006C35F1" w:rsidP="006C35F1">
      <w:pPr>
        <w:pStyle w:val="ListParagraph"/>
        <w:numPr>
          <w:ilvl w:val="0"/>
          <w:numId w:val="4"/>
        </w:numPr>
        <w:jc w:val="both"/>
        <w:rPr>
          <w:rFonts w:ascii="Arial" w:hAnsi="Arial" w:cs="Arial"/>
          <w:b/>
          <w:sz w:val="22"/>
          <w:szCs w:val="22"/>
        </w:rPr>
      </w:pPr>
      <w:r w:rsidRPr="00CD634E">
        <w:rPr>
          <w:rFonts w:ascii="Arial" w:hAnsi="Arial" w:cs="Arial"/>
          <w:sz w:val="22"/>
          <w:szCs w:val="22"/>
        </w:rPr>
        <w:lastRenderedPageBreak/>
        <w:t xml:space="preserve">Talwar K, Grover A, Thakur J. Role of medical education in preventing and control of noncommunicable diseases in India. </w:t>
      </w:r>
      <w:r w:rsidRPr="00CD634E">
        <w:rPr>
          <w:rFonts w:ascii="Arial" w:hAnsi="Arial" w:cs="Arial"/>
          <w:i/>
          <w:iCs/>
          <w:sz w:val="22"/>
          <w:szCs w:val="22"/>
        </w:rPr>
        <w:t>Indian J Community Med</w:t>
      </w:r>
      <w:r w:rsidRPr="00CD634E">
        <w:rPr>
          <w:rFonts w:ascii="Arial" w:hAnsi="Arial" w:cs="Arial"/>
          <w:sz w:val="22"/>
          <w:szCs w:val="22"/>
        </w:rPr>
        <w:t xml:space="preserve">. 2011; 36(Suppl 1):S63-S66. doi:10.4103/0970-0218.94711 </w:t>
      </w:r>
    </w:p>
    <w:p w:rsidR="006C35F1" w:rsidRPr="00CD634E" w:rsidRDefault="006C35F1" w:rsidP="006C35F1">
      <w:pPr>
        <w:pStyle w:val="ListParagraph"/>
        <w:numPr>
          <w:ilvl w:val="0"/>
          <w:numId w:val="4"/>
        </w:numPr>
        <w:jc w:val="both"/>
        <w:rPr>
          <w:rFonts w:ascii="Arial" w:hAnsi="Arial" w:cs="Arial"/>
          <w:b/>
          <w:sz w:val="22"/>
          <w:szCs w:val="22"/>
        </w:rPr>
      </w:pPr>
      <w:r w:rsidRPr="00CD634E">
        <w:rPr>
          <w:rFonts w:ascii="Arial" w:hAnsi="Arial" w:cs="Arial"/>
          <w:sz w:val="22"/>
          <w:szCs w:val="22"/>
        </w:rPr>
        <w:t xml:space="preserve">Pati S, Sinha R, Mahapatra P. Non-communicable Disease Risk Reduction Teaching in India: A Curricular Landscape. </w:t>
      </w:r>
      <w:r w:rsidRPr="00CD634E">
        <w:rPr>
          <w:rFonts w:ascii="Arial" w:hAnsi="Arial" w:cs="Arial"/>
          <w:i/>
          <w:iCs/>
          <w:sz w:val="22"/>
          <w:szCs w:val="22"/>
        </w:rPr>
        <w:t>Front Public Health</w:t>
      </w:r>
      <w:r w:rsidRPr="00CD634E">
        <w:rPr>
          <w:rFonts w:ascii="Arial" w:hAnsi="Arial" w:cs="Arial"/>
          <w:sz w:val="22"/>
          <w:szCs w:val="22"/>
        </w:rPr>
        <w:t>. 2019;7:133. Published 2019 Jun 4. doi:10.3389/fpubh.2019.00133</w:t>
      </w:r>
    </w:p>
    <w:p w:rsidR="006C35F1" w:rsidRPr="00CD634E" w:rsidRDefault="006C35F1" w:rsidP="006C35F1">
      <w:pPr>
        <w:pStyle w:val="ListParagraph"/>
        <w:numPr>
          <w:ilvl w:val="0"/>
          <w:numId w:val="4"/>
        </w:numPr>
        <w:jc w:val="both"/>
        <w:rPr>
          <w:rFonts w:ascii="Arial" w:hAnsi="Arial" w:cs="Arial"/>
          <w:b/>
          <w:sz w:val="22"/>
          <w:szCs w:val="22"/>
        </w:rPr>
      </w:pPr>
      <w:r w:rsidRPr="00CD634E">
        <w:rPr>
          <w:rFonts w:ascii="Arial" w:eastAsia="Times New Roman" w:hAnsi="Arial" w:cs="Arial"/>
          <w:sz w:val="22"/>
          <w:szCs w:val="22"/>
          <w:lang w:eastAsia="en-IN"/>
        </w:rPr>
        <w:t>Enhancing nursing and midwifery capacity to   contribute to the preventio</w:t>
      </w:r>
      <w:r w:rsidR="0080540D" w:rsidRPr="00CD634E">
        <w:rPr>
          <w:rFonts w:ascii="Arial" w:eastAsia="Times New Roman" w:hAnsi="Arial" w:cs="Arial"/>
          <w:sz w:val="22"/>
          <w:szCs w:val="22"/>
          <w:lang w:eastAsia="en-IN"/>
        </w:rPr>
        <w:t xml:space="preserve">n, treatment and management of </w:t>
      </w:r>
      <w:r w:rsidRPr="00CD634E">
        <w:rPr>
          <w:rFonts w:ascii="Arial" w:eastAsia="Times New Roman" w:hAnsi="Arial" w:cs="Arial"/>
          <w:sz w:val="22"/>
          <w:szCs w:val="22"/>
          <w:lang w:eastAsia="en-IN"/>
        </w:rPr>
        <w:t xml:space="preserve">noncommunicable  diseases. Human resource for health observer. Issue no 12,2012.World Health Organisation </w:t>
      </w:r>
    </w:p>
    <w:p w:rsidR="00D826B7" w:rsidRPr="00CD634E" w:rsidRDefault="00D826B7" w:rsidP="006C35F1">
      <w:pPr>
        <w:rPr>
          <w:rFonts w:ascii="Arial" w:hAnsi="Arial" w:cs="Arial"/>
          <w:sz w:val="22"/>
          <w:szCs w:val="22"/>
        </w:rPr>
      </w:pPr>
    </w:p>
    <w:p w:rsidR="00CD634E" w:rsidRPr="00CD634E" w:rsidRDefault="00CD634E" w:rsidP="00CD634E">
      <w:pPr>
        <w:shd w:val="clear" w:color="auto" w:fill="FFFFFF"/>
        <w:spacing w:after="200" w:line="253" w:lineRule="atLeast"/>
        <w:rPr>
          <w:rFonts w:ascii="Arial" w:eastAsia="Times New Roman" w:hAnsi="Arial" w:cs="Arial"/>
          <w:color w:val="222222"/>
          <w:sz w:val="22"/>
          <w:szCs w:val="22"/>
          <w:lang w:eastAsia="en-IN"/>
        </w:rPr>
      </w:pPr>
      <w:r w:rsidRPr="00CD634E">
        <w:rPr>
          <w:rFonts w:ascii="Arial" w:hAnsi="Arial" w:cs="Arial"/>
          <w:b/>
          <w:sz w:val="22"/>
          <w:szCs w:val="22"/>
        </w:rPr>
        <w:t>Compensation</w:t>
      </w:r>
    </w:p>
    <w:p w:rsidR="00133D65" w:rsidRPr="006D1C91" w:rsidRDefault="00CD634E" w:rsidP="00133D65">
      <w:pPr>
        <w:jc w:val="both"/>
        <w:rPr>
          <w:rFonts w:ascii="Arial" w:hAnsi="Arial" w:cs="Arial"/>
          <w:sz w:val="22"/>
          <w:szCs w:val="22"/>
        </w:rPr>
      </w:pPr>
      <w:r w:rsidRPr="00CD634E">
        <w:rPr>
          <w:rFonts w:ascii="Arial" w:hAnsi="Arial" w:cs="Arial"/>
          <w:sz w:val="22"/>
          <w:szCs w:val="22"/>
        </w:rPr>
        <w:t xml:space="preserve">The Consultancy fee for this engagement is </w:t>
      </w:r>
      <w:r w:rsidRPr="00CD634E">
        <w:rPr>
          <w:rFonts w:ascii="Arial" w:hAnsi="Arial" w:cs="Arial"/>
          <w:bCs/>
          <w:sz w:val="22"/>
          <w:szCs w:val="22"/>
        </w:rPr>
        <w:t>USD 5,000</w:t>
      </w:r>
      <w:r w:rsidRPr="00CD634E">
        <w:rPr>
          <w:rFonts w:ascii="Arial" w:hAnsi="Arial" w:cs="Arial"/>
          <w:b/>
          <w:bCs/>
          <w:sz w:val="22"/>
          <w:szCs w:val="22"/>
        </w:rPr>
        <w:t xml:space="preserve"> </w:t>
      </w:r>
      <w:r w:rsidRPr="00CD634E">
        <w:rPr>
          <w:rFonts w:ascii="Arial" w:hAnsi="Arial" w:cs="Arial"/>
          <w:sz w:val="22"/>
          <w:szCs w:val="22"/>
        </w:rPr>
        <w:t xml:space="preserve">(Inclusive of all indirect taxes). </w:t>
      </w:r>
      <w:r w:rsidRPr="00CD634E">
        <w:rPr>
          <w:rFonts w:ascii="Arial" w:hAnsi="Arial" w:cs="Arial"/>
          <w:color w:val="222222"/>
          <w:sz w:val="22"/>
          <w:szCs w:val="22"/>
          <w:shd w:val="clear" w:color="auto" w:fill="FFFFFF"/>
        </w:rPr>
        <w:t xml:space="preserve">The payment will be disbursed in three instalments, in the proportions given below </w:t>
      </w:r>
      <w:r w:rsidR="00133D65" w:rsidRPr="006D1C91">
        <w:rPr>
          <w:rFonts w:ascii="Arial" w:hAnsi="Arial" w:cs="Arial"/>
          <w:sz w:val="22"/>
          <w:szCs w:val="22"/>
        </w:rPr>
        <w:t xml:space="preserve">and the consultant should provide the invoice against each deliverable. </w:t>
      </w:r>
    </w:p>
    <w:p w:rsidR="00CD634E" w:rsidRDefault="00CD634E" w:rsidP="00CD634E">
      <w:pPr>
        <w:jc w:val="both"/>
        <w:rPr>
          <w:rFonts w:ascii="Arial" w:hAnsi="Arial" w:cs="Arial"/>
        </w:rPr>
      </w:pPr>
    </w:p>
    <w:tbl>
      <w:tblPr>
        <w:tblW w:w="8000" w:type="dxa"/>
        <w:tblCellMar>
          <w:left w:w="0" w:type="dxa"/>
          <w:right w:w="0" w:type="dxa"/>
        </w:tblCellMar>
        <w:tblLook w:val="04A0"/>
      </w:tblPr>
      <w:tblGrid>
        <w:gridCol w:w="1297"/>
        <w:gridCol w:w="1324"/>
        <w:gridCol w:w="953"/>
        <w:gridCol w:w="4426"/>
      </w:tblGrid>
      <w:tr w:rsidR="00CD634E"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rPr>
                <w:rFonts w:ascii="Arial" w:eastAsia="Times New Roman" w:hAnsi="Arial" w:cs="Arial"/>
                <w:color w:val="000000"/>
              </w:rPr>
            </w:pPr>
            <w:r w:rsidRPr="000F1D52">
              <w:rPr>
                <w:rFonts w:ascii="Arial" w:eastAsia="Times New Roman" w:hAnsi="Arial" w:cs="Arial"/>
                <w:b/>
                <w:bCs/>
                <w:color w:val="000000"/>
              </w:rPr>
              <w:t>Instalment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b/>
                <w:bCs/>
                <w:color w:val="000000"/>
              </w:rPr>
              <w:t>Deliverable/ Milestone </w:t>
            </w:r>
          </w:p>
        </w:tc>
      </w:tr>
      <w:tr w:rsidR="00CD634E"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rPr>
                <w:rFonts w:ascii="Arial" w:eastAsia="Times New Roman" w:hAnsi="Arial" w:cs="Arial"/>
                <w:color w:val="000000"/>
              </w:rPr>
            </w:pPr>
            <w:r w:rsidRPr="000F1D52">
              <w:rPr>
                <w:rFonts w:ascii="Arial" w:eastAsia="Times New Roman" w:hAnsi="Arial" w:cs="Arial"/>
                <w:color w:val="000000"/>
              </w:rPr>
              <w:t>On Signing Contract </w:t>
            </w:r>
          </w:p>
        </w:tc>
      </w:tr>
      <w:tr w:rsidR="00CD634E"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rPr>
                <w:rFonts w:ascii="Arial" w:eastAsia="Times New Roman" w:hAnsi="Arial" w:cs="Arial"/>
                <w:color w:val="000000"/>
              </w:rPr>
            </w:pPr>
            <w:r w:rsidRPr="000F1D52">
              <w:rPr>
                <w:rFonts w:ascii="Arial" w:eastAsia="Times New Roman" w:hAnsi="Arial" w:cs="Arial"/>
                <w:color w:val="000000"/>
              </w:rPr>
              <w:t>On submission of literature review and methodology (including stakeholders for a qualitative interview and analysis plan) approved by the Mentor, and</w:t>
            </w:r>
          </w:p>
        </w:tc>
      </w:tr>
      <w:tr w:rsidR="00CD634E"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jc w:val="center"/>
              <w:rPr>
                <w:rFonts w:ascii="Arial" w:eastAsia="Times New Roman" w:hAnsi="Arial" w:cs="Arial"/>
                <w:color w:val="000000"/>
              </w:rPr>
            </w:pPr>
            <w:r w:rsidRPr="000F1D52">
              <w:rPr>
                <w:rFonts w:ascii="Arial" w:eastAsia="Times New Roman" w:hAnsi="Arial" w:cs="Arial"/>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CD634E" w:rsidRPr="000F1D52" w:rsidRDefault="00CD634E" w:rsidP="0061284B">
            <w:pPr>
              <w:spacing w:after="0"/>
              <w:rPr>
                <w:rFonts w:ascii="Arial" w:eastAsia="Times New Roman" w:hAnsi="Arial" w:cs="Arial"/>
                <w:color w:val="000000"/>
              </w:rPr>
            </w:pPr>
            <w:r w:rsidRPr="000F1D52">
              <w:rPr>
                <w:rFonts w:ascii="Arial" w:eastAsia="Times New Roman" w:hAnsi="Arial" w:cs="Arial"/>
                <w:color w:val="000000"/>
              </w:rPr>
              <w:t>On submission of the final deliverable approved and accepted by the Mentor &amp; AHI Team.  </w:t>
            </w:r>
          </w:p>
        </w:tc>
      </w:tr>
    </w:tbl>
    <w:p w:rsidR="00CD634E" w:rsidRPr="00350403" w:rsidRDefault="00CD634E" w:rsidP="00CD634E">
      <w:pPr>
        <w:jc w:val="both"/>
        <w:rPr>
          <w:rFonts w:ascii="Arial" w:hAnsi="Arial" w:cs="Arial"/>
          <w:b/>
        </w:rPr>
      </w:pPr>
    </w:p>
    <w:p w:rsidR="00CD634E" w:rsidRPr="00CD634E" w:rsidRDefault="00CD634E" w:rsidP="00CD634E">
      <w:pPr>
        <w:jc w:val="both"/>
        <w:rPr>
          <w:rFonts w:ascii="Arial" w:hAnsi="Arial" w:cs="Arial"/>
          <w:b/>
          <w:sz w:val="22"/>
          <w:szCs w:val="22"/>
        </w:rPr>
      </w:pPr>
    </w:p>
    <w:p w:rsidR="00CD634E" w:rsidRPr="00CD634E" w:rsidRDefault="00CD634E" w:rsidP="00CD634E">
      <w:pPr>
        <w:jc w:val="both"/>
        <w:rPr>
          <w:rFonts w:ascii="Arial" w:hAnsi="Arial" w:cs="Arial"/>
          <w:sz w:val="22"/>
          <w:szCs w:val="22"/>
        </w:rPr>
      </w:pPr>
      <w:r w:rsidRPr="00CD634E">
        <w:rPr>
          <w:rFonts w:ascii="Arial" w:hAnsi="Arial" w:cs="Arial"/>
          <w:b/>
          <w:sz w:val="22"/>
          <w:szCs w:val="22"/>
        </w:rPr>
        <w:t>Term</w:t>
      </w:r>
    </w:p>
    <w:p w:rsidR="00CD634E" w:rsidRPr="00CD634E" w:rsidRDefault="00CD634E" w:rsidP="00CD634E">
      <w:pPr>
        <w:jc w:val="both"/>
        <w:rPr>
          <w:rFonts w:ascii="Arial" w:hAnsi="Arial" w:cs="Arial"/>
          <w:sz w:val="22"/>
          <w:szCs w:val="22"/>
        </w:rPr>
      </w:pPr>
      <w:r w:rsidRPr="00CD634E">
        <w:rPr>
          <w:rFonts w:ascii="Arial" w:hAnsi="Arial" w:cs="Arial"/>
          <w:sz w:val="22"/>
          <w:szCs w:val="22"/>
        </w:rPr>
        <w:t xml:space="preserve">This engagement shall commence upon execution of this Agreement. The Agreement shall continue in full force and is effect from </w:t>
      </w:r>
      <w:r w:rsidRPr="00CD634E">
        <w:rPr>
          <w:rFonts w:ascii="Arial" w:hAnsi="Arial" w:cs="Arial"/>
          <w:b/>
          <w:sz w:val="22"/>
          <w:szCs w:val="22"/>
        </w:rPr>
        <w:t>September 15, 2021</w:t>
      </w:r>
      <w:r w:rsidRPr="00CD634E">
        <w:rPr>
          <w:rFonts w:ascii="Arial" w:hAnsi="Arial" w:cs="Arial"/>
          <w:sz w:val="22"/>
          <w:szCs w:val="22"/>
        </w:rPr>
        <w:t xml:space="preserve"> to </w:t>
      </w:r>
      <w:r w:rsidRPr="00CD634E">
        <w:rPr>
          <w:rFonts w:ascii="Arial" w:hAnsi="Arial" w:cs="Arial"/>
          <w:b/>
          <w:sz w:val="22"/>
          <w:szCs w:val="22"/>
        </w:rPr>
        <w:t xml:space="preserve">December 15, 2021 </w:t>
      </w:r>
      <w:r w:rsidRPr="00CD634E">
        <w:rPr>
          <w:rFonts w:ascii="Arial" w:hAnsi="Arial" w:cs="Arial"/>
          <w:sz w:val="22"/>
          <w:szCs w:val="22"/>
        </w:rPr>
        <w:t xml:space="preserve">and is extendable based on the review of Consultant’s performance by the Foundation and mutual concurrence on revised terms of engagement. </w:t>
      </w:r>
    </w:p>
    <w:p w:rsidR="00CD634E" w:rsidRPr="00CD634E" w:rsidRDefault="00CD634E" w:rsidP="00CD634E">
      <w:pPr>
        <w:jc w:val="both"/>
        <w:rPr>
          <w:rFonts w:ascii="Arial" w:hAnsi="Arial" w:cs="Arial"/>
          <w:sz w:val="22"/>
          <w:szCs w:val="22"/>
        </w:rPr>
      </w:pPr>
    </w:p>
    <w:p w:rsidR="00CD634E" w:rsidRPr="000F1D52" w:rsidRDefault="00CD634E" w:rsidP="00CD634E">
      <w:pPr>
        <w:pStyle w:val="ListParagraph"/>
        <w:jc w:val="both"/>
        <w:rPr>
          <w:rFonts w:ascii="Arial" w:hAnsi="Arial" w:cs="Arial"/>
        </w:rPr>
      </w:pPr>
    </w:p>
    <w:p w:rsidR="00CD634E" w:rsidRPr="000F1D52" w:rsidRDefault="00CD634E" w:rsidP="00CD634E">
      <w:pPr>
        <w:pStyle w:val="ListParagraph"/>
        <w:rPr>
          <w:rFonts w:ascii="Arial" w:hAnsi="Arial" w:cs="Arial"/>
        </w:rPr>
      </w:pPr>
    </w:p>
    <w:p w:rsidR="00CD634E" w:rsidRPr="000F1D52" w:rsidRDefault="00CD634E" w:rsidP="00CD634E">
      <w:pPr>
        <w:pStyle w:val="ListParagraph"/>
        <w:jc w:val="both"/>
        <w:rPr>
          <w:rFonts w:ascii="Arial" w:hAnsi="Arial" w:cs="Arial"/>
        </w:rPr>
      </w:pPr>
    </w:p>
    <w:p w:rsidR="00CD634E" w:rsidRPr="000F1D52" w:rsidRDefault="00CD634E" w:rsidP="00CD634E">
      <w:pPr>
        <w:pStyle w:val="ListParagraph"/>
        <w:ind w:left="1080"/>
        <w:jc w:val="both"/>
        <w:rPr>
          <w:rFonts w:ascii="Arial" w:hAnsi="Arial" w:cs="Arial"/>
        </w:rPr>
      </w:pPr>
    </w:p>
    <w:p w:rsidR="00CD634E" w:rsidRPr="000F1D52" w:rsidRDefault="00CD634E" w:rsidP="00CD634E">
      <w:pPr>
        <w:rPr>
          <w:rFonts w:ascii="Arial" w:hAnsi="Arial" w:cs="Arial"/>
        </w:rPr>
      </w:pPr>
    </w:p>
    <w:p w:rsidR="00CD634E" w:rsidRPr="00CD634E" w:rsidRDefault="00CD634E" w:rsidP="006C35F1">
      <w:pPr>
        <w:rPr>
          <w:rFonts w:ascii="Arial" w:hAnsi="Arial" w:cs="Arial"/>
          <w:sz w:val="22"/>
          <w:szCs w:val="22"/>
        </w:rPr>
      </w:pPr>
    </w:p>
    <w:sectPr w:rsidR="00CD634E" w:rsidRPr="00CD634E" w:rsidSect="003E24F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887" w:rsidRDefault="00172887" w:rsidP="00EA7A14">
      <w:pPr>
        <w:spacing w:after="0"/>
      </w:pPr>
      <w:r>
        <w:separator/>
      </w:r>
    </w:p>
  </w:endnote>
  <w:endnote w:type="continuationSeparator" w:id="1">
    <w:p w:rsidR="00172887" w:rsidRDefault="00172887" w:rsidP="00EA7A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908278"/>
      <w:docPartObj>
        <w:docPartGallery w:val="Page Numbers (Bottom of Page)"/>
        <w:docPartUnique/>
      </w:docPartObj>
    </w:sdtPr>
    <w:sdtEndPr>
      <w:rPr>
        <w:noProof/>
      </w:rPr>
    </w:sdtEndPr>
    <w:sdtContent>
      <w:p w:rsidR="00EA7A14" w:rsidRDefault="00AA1069">
        <w:pPr>
          <w:pStyle w:val="Footer"/>
          <w:jc w:val="center"/>
        </w:pPr>
        <w:r>
          <w:fldChar w:fldCharType="begin"/>
        </w:r>
        <w:r w:rsidR="00EA7A14">
          <w:instrText xml:space="preserve"> PAGE   \* MERGEFORMAT </w:instrText>
        </w:r>
        <w:r>
          <w:fldChar w:fldCharType="separate"/>
        </w:r>
        <w:r w:rsidR="00133D65">
          <w:rPr>
            <w:noProof/>
          </w:rPr>
          <w:t>3</w:t>
        </w:r>
        <w:r>
          <w:rPr>
            <w:noProof/>
          </w:rPr>
          <w:fldChar w:fldCharType="end"/>
        </w:r>
      </w:p>
    </w:sdtContent>
  </w:sdt>
  <w:p w:rsidR="00EA7A14" w:rsidRDefault="00EA7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887" w:rsidRDefault="00172887" w:rsidP="00EA7A14">
      <w:pPr>
        <w:spacing w:after="0"/>
      </w:pPr>
      <w:r>
        <w:separator/>
      </w:r>
    </w:p>
  </w:footnote>
  <w:footnote w:type="continuationSeparator" w:id="1">
    <w:p w:rsidR="00172887" w:rsidRDefault="00172887" w:rsidP="00EA7A1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0DD"/>
    <w:multiLevelType w:val="hybridMultilevel"/>
    <w:tmpl w:val="746CE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45171D"/>
    <w:multiLevelType w:val="hybridMultilevel"/>
    <w:tmpl w:val="BC882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E6593A"/>
    <w:multiLevelType w:val="hybridMultilevel"/>
    <w:tmpl w:val="B5760182"/>
    <w:lvl w:ilvl="0" w:tplc="4A2275E8">
      <w:start w:val="1"/>
      <w:numFmt w:val="decimal"/>
      <w:lvlText w:val="%1."/>
      <w:lvlJc w:val="left"/>
      <w:pPr>
        <w:ind w:left="720" w:hanging="360"/>
      </w:pPr>
      <w:rPr>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E543E1"/>
    <w:multiLevelType w:val="hybridMultilevel"/>
    <w:tmpl w:val="C6D0B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4AB4"/>
    <w:rsid w:val="00017932"/>
    <w:rsid w:val="00022CA7"/>
    <w:rsid w:val="00031FB8"/>
    <w:rsid w:val="000946A1"/>
    <w:rsid w:val="00094AB4"/>
    <w:rsid w:val="000C51F3"/>
    <w:rsid w:val="000D2442"/>
    <w:rsid w:val="00127C96"/>
    <w:rsid w:val="00133D65"/>
    <w:rsid w:val="00172887"/>
    <w:rsid w:val="00187852"/>
    <w:rsid w:val="001941B3"/>
    <w:rsid w:val="001C0FFE"/>
    <w:rsid w:val="001F230C"/>
    <w:rsid w:val="00205815"/>
    <w:rsid w:val="0023078B"/>
    <w:rsid w:val="002E50E8"/>
    <w:rsid w:val="002F5EFF"/>
    <w:rsid w:val="003032E9"/>
    <w:rsid w:val="003215E5"/>
    <w:rsid w:val="003305E5"/>
    <w:rsid w:val="00355BCF"/>
    <w:rsid w:val="00362870"/>
    <w:rsid w:val="003673FF"/>
    <w:rsid w:val="00385111"/>
    <w:rsid w:val="00385137"/>
    <w:rsid w:val="00385740"/>
    <w:rsid w:val="003C31DF"/>
    <w:rsid w:val="003C665D"/>
    <w:rsid w:val="003E120E"/>
    <w:rsid w:val="003E24F9"/>
    <w:rsid w:val="00470CDA"/>
    <w:rsid w:val="004D2DE7"/>
    <w:rsid w:val="004E0024"/>
    <w:rsid w:val="004E5119"/>
    <w:rsid w:val="00536C80"/>
    <w:rsid w:val="00564239"/>
    <w:rsid w:val="00566BE3"/>
    <w:rsid w:val="005775D5"/>
    <w:rsid w:val="00577808"/>
    <w:rsid w:val="00583648"/>
    <w:rsid w:val="00596B88"/>
    <w:rsid w:val="005A0DA3"/>
    <w:rsid w:val="005B4356"/>
    <w:rsid w:val="005E5D99"/>
    <w:rsid w:val="005F55CC"/>
    <w:rsid w:val="00635C3B"/>
    <w:rsid w:val="0064657E"/>
    <w:rsid w:val="006C35F1"/>
    <w:rsid w:val="006D69B8"/>
    <w:rsid w:val="00747B1E"/>
    <w:rsid w:val="00751AFB"/>
    <w:rsid w:val="00785FAB"/>
    <w:rsid w:val="00787215"/>
    <w:rsid w:val="00793B95"/>
    <w:rsid w:val="0080540D"/>
    <w:rsid w:val="00815588"/>
    <w:rsid w:val="00822F9F"/>
    <w:rsid w:val="00825203"/>
    <w:rsid w:val="008302C2"/>
    <w:rsid w:val="00861C83"/>
    <w:rsid w:val="00895446"/>
    <w:rsid w:val="008B49F8"/>
    <w:rsid w:val="008C73E5"/>
    <w:rsid w:val="008C75C2"/>
    <w:rsid w:val="008D04B9"/>
    <w:rsid w:val="008E2BE8"/>
    <w:rsid w:val="00903FA1"/>
    <w:rsid w:val="0090785A"/>
    <w:rsid w:val="00950C19"/>
    <w:rsid w:val="00990D64"/>
    <w:rsid w:val="00997E39"/>
    <w:rsid w:val="009F47A7"/>
    <w:rsid w:val="00A732AC"/>
    <w:rsid w:val="00AA1069"/>
    <w:rsid w:val="00B17890"/>
    <w:rsid w:val="00B45A35"/>
    <w:rsid w:val="00B5383E"/>
    <w:rsid w:val="00B7710A"/>
    <w:rsid w:val="00BB0C55"/>
    <w:rsid w:val="00C43E6E"/>
    <w:rsid w:val="00C65FDF"/>
    <w:rsid w:val="00CD634E"/>
    <w:rsid w:val="00D002D6"/>
    <w:rsid w:val="00D338FB"/>
    <w:rsid w:val="00D43ECB"/>
    <w:rsid w:val="00D826B7"/>
    <w:rsid w:val="00DC43FF"/>
    <w:rsid w:val="00DC4747"/>
    <w:rsid w:val="00E66615"/>
    <w:rsid w:val="00E92480"/>
    <w:rsid w:val="00E93B35"/>
    <w:rsid w:val="00EA79BE"/>
    <w:rsid w:val="00EA7A14"/>
    <w:rsid w:val="00EB1F21"/>
    <w:rsid w:val="00F15722"/>
    <w:rsid w:val="00F2754C"/>
    <w:rsid w:val="00F81266"/>
    <w:rsid w:val="00FA159F"/>
    <w:rsid w:val="00FB1DC7"/>
    <w:rsid w:val="00FD67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A1"/>
    <w:pPr>
      <w:spacing w:after="12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64657E"/>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6A1"/>
    <w:pPr>
      <w:ind w:left="720"/>
      <w:contextualSpacing/>
    </w:pPr>
  </w:style>
  <w:style w:type="character" w:customStyle="1" w:styleId="Heading1Char">
    <w:name w:val="Heading 1 Char"/>
    <w:basedOn w:val="DefaultParagraphFont"/>
    <w:link w:val="Heading1"/>
    <w:uiPriority w:val="9"/>
    <w:rsid w:val="0064657E"/>
    <w:rPr>
      <w:rFonts w:asciiTheme="majorHAnsi" w:eastAsiaTheme="majorEastAsia" w:hAnsiTheme="majorHAnsi" w:cs="Times New Roman"/>
      <w:b/>
      <w:bCs/>
      <w:kern w:val="32"/>
      <w:sz w:val="32"/>
      <w:szCs w:val="32"/>
    </w:rPr>
  </w:style>
  <w:style w:type="character" w:customStyle="1" w:styleId="hgkelc">
    <w:name w:val="hgkelc"/>
    <w:basedOn w:val="DefaultParagraphFont"/>
    <w:rsid w:val="0064657E"/>
  </w:style>
  <w:style w:type="table" w:styleId="TableGrid">
    <w:name w:val="Table Grid"/>
    <w:basedOn w:val="TableNormal"/>
    <w:uiPriority w:val="39"/>
    <w:rsid w:val="00127C96"/>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7C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C96"/>
    <w:rPr>
      <w:rFonts w:ascii="Tahoma" w:eastAsiaTheme="minorEastAsia" w:hAnsi="Tahoma" w:cs="Tahoma"/>
      <w:sz w:val="16"/>
      <w:szCs w:val="16"/>
    </w:rPr>
  </w:style>
  <w:style w:type="paragraph" w:styleId="Header">
    <w:name w:val="header"/>
    <w:basedOn w:val="Normal"/>
    <w:link w:val="HeaderChar"/>
    <w:uiPriority w:val="99"/>
    <w:unhideWhenUsed/>
    <w:rsid w:val="00EA7A14"/>
    <w:pPr>
      <w:tabs>
        <w:tab w:val="center" w:pos="4680"/>
        <w:tab w:val="right" w:pos="9360"/>
      </w:tabs>
      <w:spacing w:after="0"/>
    </w:pPr>
  </w:style>
  <w:style w:type="character" w:customStyle="1" w:styleId="HeaderChar">
    <w:name w:val="Header Char"/>
    <w:basedOn w:val="DefaultParagraphFont"/>
    <w:link w:val="Header"/>
    <w:uiPriority w:val="99"/>
    <w:rsid w:val="00EA7A14"/>
    <w:rPr>
      <w:rFonts w:eastAsiaTheme="minorEastAsia" w:cs="Times New Roman"/>
      <w:sz w:val="24"/>
      <w:szCs w:val="24"/>
    </w:rPr>
  </w:style>
  <w:style w:type="paragraph" w:styleId="Footer">
    <w:name w:val="footer"/>
    <w:basedOn w:val="Normal"/>
    <w:link w:val="FooterChar"/>
    <w:uiPriority w:val="99"/>
    <w:unhideWhenUsed/>
    <w:rsid w:val="00EA7A14"/>
    <w:pPr>
      <w:tabs>
        <w:tab w:val="center" w:pos="4680"/>
        <w:tab w:val="right" w:pos="9360"/>
      </w:tabs>
      <w:spacing w:after="0"/>
    </w:pPr>
  </w:style>
  <w:style w:type="character" w:customStyle="1" w:styleId="FooterChar">
    <w:name w:val="Footer Char"/>
    <w:basedOn w:val="DefaultParagraphFont"/>
    <w:link w:val="Footer"/>
    <w:uiPriority w:val="99"/>
    <w:rsid w:val="00EA7A14"/>
    <w:rPr>
      <w:rFonts w:eastAsiaTheme="minorEastAsia" w:cs="Times New Roman"/>
      <w:sz w:val="24"/>
      <w:szCs w:val="24"/>
    </w:rPr>
  </w:style>
  <w:style w:type="table" w:customStyle="1" w:styleId="TableGrid1">
    <w:name w:val="Table Grid1"/>
    <w:basedOn w:val="TableNormal"/>
    <w:next w:val="TableGrid"/>
    <w:uiPriority w:val="39"/>
    <w:rsid w:val="00793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054909">
      <w:bodyDiv w:val="1"/>
      <w:marLeft w:val="0"/>
      <w:marRight w:val="0"/>
      <w:marTop w:val="0"/>
      <w:marBottom w:val="0"/>
      <w:divBdr>
        <w:top w:val="none" w:sz="0" w:space="0" w:color="auto"/>
        <w:left w:val="none" w:sz="0" w:space="0" w:color="auto"/>
        <w:bottom w:val="none" w:sz="0" w:space="0" w:color="auto"/>
        <w:right w:val="none" w:sz="0" w:space="0" w:color="auto"/>
      </w:divBdr>
      <w:divsChild>
        <w:div w:id="1510099369">
          <w:marLeft w:val="0"/>
          <w:marRight w:val="0"/>
          <w:marTop w:val="0"/>
          <w:marBottom w:val="0"/>
          <w:divBdr>
            <w:top w:val="none" w:sz="0" w:space="0" w:color="auto"/>
            <w:left w:val="none" w:sz="0" w:space="0" w:color="auto"/>
            <w:bottom w:val="none" w:sz="0" w:space="0" w:color="auto"/>
            <w:right w:val="none" w:sz="0" w:space="0" w:color="auto"/>
          </w:divBdr>
          <w:divsChild>
            <w:div w:id="1466043202">
              <w:marLeft w:val="0"/>
              <w:marRight w:val="0"/>
              <w:marTop w:val="0"/>
              <w:marBottom w:val="0"/>
              <w:divBdr>
                <w:top w:val="none" w:sz="0" w:space="0" w:color="auto"/>
                <w:left w:val="none" w:sz="0" w:space="0" w:color="auto"/>
                <w:bottom w:val="none" w:sz="0" w:space="0" w:color="auto"/>
                <w:right w:val="none" w:sz="0" w:space="0" w:color="auto"/>
              </w:divBdr>
            </w:div>
            <w:div w:id="2043286680">
              <w:marLeft w:val="0"/>
              <w:marRight w:val="0"/>
              <w:marTop w:val="0"/>
              <w:marBottom w:val="0"/>
              <w:divBdr>
                <w:top w:val="none" w:sz="0" w:space="0" w:color="auto"/>
                <w:left w:val="none" w:sz="0" w:space="0" w:color="auto"/>
                <w:bottom w:val="none" w:sz="0" w:space="0" w:color="auto"/>
                <w:right w:val="none" w:sz="0" w:space="0" w:color="auto"/>
              </w:divBdr>
            </w:div>
            <w:div w:id="7071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4650">
      <w:bodyDiv w:val="1"/>
      <w:marLeft w:val="0"/>
      <w:marRight w:val="0"/>
      <w:marTop w:val="0"/>
      <w:marBottom w:val="0"/>
      <w:divBdr>
        <w:top w:val="none" w:sz="0" w:space="0" w:color="auto"/>
        <w:left w:val="none" w:sz="0" w:space="0" w:color="auto"/>
        <w:bottom w:val="none" w:sz="0" w:space="0" w:color="auto"/>
        <w:right w:val="none" w:sz="0" w:space="0" w:color="auto"/>
      </w:divBdr>
      <w:divsChild>
        <w:div w:id="679310552">
          <w:marLeft w:val="0"/>
          <w:marRight w:val="0"/>
          <w:marTop w:val="0"/>
          <w:marBottom w:val="0"/>
          <w:divBdr>
            <w:top w:val="none" w:sz="0" w:space="0" w:color="auto"/>
            <w:left w:val="none" w:sz="0" w:space="0" w:color="auto"/>
            <w:bottom w:val="none" w:sz="0" w:space="0" w:color="auto"/>
            <w:right w:val="none" w:sz="0" w:space="0" w:color="auto"/>
          </w:divBdr>
        </w:div>
        <w:div w:id="783960320">
          <w:marLeft w:val="0"/>
          <w:marRight w:val="0"/>
          <w:marTop w:val="0"/>
          <w:marBottom w:val="0"/>
          <w:divBdr>
            <w:top w:val="none" w:sz="0" w:space="0" w:color="auto"/>
            <w:left w:val="none" w:sz="0" w:space="0" w:color="auto"/>
            <w:bottom w:val="none" w:sz="0" w:space="0" w:color="auto"/>
            <w:right w:val="none" w:sz="0" w:space="0" w:color="auto"/>
          </w:divBdr>
        </w:div>
        <w:div w:id="461576763">
          <w:marLeft w:val="0"/>
          <w:marRight w:val="0"/>
          <w:marTop w:val="0"/>
          <w:marBottom w:val="0"/>
          <w:divBdr>
            <w:top w:val="none" w:sz="0" w:space="0" w:color="auto"/>
            <w:left w:val="none" w:sz="0" w:space="0" w:color="auto"/>
            <w:bottom w:val="none" w:sz="0" w:space="0" w:color="auto"/>
            <w:right w:val="none" w:sz="0" w:space="0" w:color="auto"/>
          </w:divBdr>
        </w:div>
        <w:div w:id="1485076999">
          <w:marLeft w:val="0"/>
          <w:marRight w:val="0"/>
          <w:marTop w:val="0"/>
          <w:marBottom w:val="0"/>
          <w:divBdr>
            <w:top w:val="none" w:sz="0" w:space="0" w:color="auto"/>
            <w:left w:val="none" w:sz="0" w:space="0" w:color="auto"/>
            <w:bottom w:val="none" w:sz="0" w:space="0" w:color="auto"/>
            <w:right w:val="none" w:sz="0" w:space="0" w:color="auto"/>
          </w:divBdr>
        </w:div>
        <w:div w:id="241110309">
          <w:marLeft w:val="0"/>
          <w:marRight w:val="0"/>
          <w:marTop w:val="0"/>
          <w:marBottom w:val="0"/>
          <w:divBdr>
            <w:top w:val="none" w:sz="0" w:space="0" w:color="auto"/>
            <w:left w:val="none" w:sz="0" w:space="0" w:color="auto"/>
            <w:bottom w:val="none" w:sz="0" w:space="0" w:color="auto"/>
            <w:right w:val="none" w:sz="0" w:space="0" w:color="auto"/>
          </w:divBdr>
        </w:div>
        <w:div w:id="1118448411">
          <w:marLeft w:val="0"/>
          <w:marRight w:val="0"/>
          <w:marTop w:val="0"/>
          <w:marBottom w:val="0"/>
          <w:divBdr>
            <w:top w:val="none" w:sz="0" w:space="0" w:color="auto"/>
            <w:left w:val="none" w:sz="0" w:space="0" w:color="auto"/>
            <w:bottom w:val="none" w:sz="0" w:space="0" w:color="auto"/>
            <w:right w:val="none" w:sz="0" w:space="0" w:color="auto"/>
          </w:divBdr>
        </w:div>
        <w:div w:id="1371611871">
          <w:marLeft w:val="0"/>
          <w:marRight w:val="0"/>
          <w:marTop w:val="0"/>
          <w:marBottom w:val="0"/>
          <w:divBdr>
            <w:top w:val="none" w:sz="0" w:space="0" w:color="auto"/>
            <w:left w:val="none" w:sz="0" w:space="0" w:color="auto"/>
            <w:bottom w:val="none" w:sz="0" w:space="0" w:color="auto"/>
            <w:right w:val="none" w:sz="0" w:space="0" w:color="auto"/>
          </w:divBdr>
        </w:div>
        <w:div w:id="1438332373">
          <w:marLeft w:val="0"/>
          <w:marRight w:val="0"/>
          <w:marTop w:val="0"/>
          <w:marBottom w:val="0"/>
          <w:divBdr>
            <w:top w:val="none" w:sz="0" w:space="0" w:color="auto"/>
            <w:left w:val="none" w:sz="0" w:space="0" w:color="auto"/>
            <w:bottom w:val="none" w:sz="0" w:space="0" w:color="auto"/>
            <w:right w:val="none" w:sz="0" w:space="0" w:color="auto"/>
          </w:divBdr>
        </w:div>
        <w:div w:id="1303150292">
          <w:marLeft w:val="0"/>
          <w:marRight w:val="0"/>
          <w:marTop w:val="0"/>
          <w:marBottom w:val="0"/>
          <w:divBdr>
            <w:top w:val="none" w:sz="0" w:space="0" w:color="auto"/>
            <w:left w:val="none" w:sz="0" w:space="0" w:color="auto"/>
            <w:bottom w:val="none" w:sz="0" w:space="0" w:color="auto"/>
            <w:right w:val="none" w:sz="0" w:space="0" w:color="auto"/>
          </w:divBdr>
        </w:div>
        <w:div w:id="776675905">
          <w:marLeft w:val="0"/>
          <w:marRight w:val="0"/>
          <w:marTop w:val="0"/>
          <w:marBottom w:val="0"/>
          <w:divBdr>
            <w:top w:val="none" w:sz="0" w:space="0" w:color="auto"/>
            <w:left w:val="none" w:sz="0" w:space="0" w:color="auto"/>
            <w:bottom w:val="none" w:sz="0" w:space="0" w:color="auto"/>
            <w:right w:val="none" w:sz="0" w:space="0" w:color="auto"/>
          </w:divBdr>
        </w:div>
        <w:div w:id="782070365">
          <w:marLeft w:val="0"/>
          <w:marRight w:val="0"/>
          <w:marTop w:val="0"/>
          <w:marBottom w:val="0"/>
          <w:divBdr>
            <w:top w:val="none" w:sz="0" w:space="0" w:color="auto"/>
            <w:left w:val="none" w:sz="0" w:space="0" w:color="auto"/>
            <w:bottom w:val="none" w:sz="0" w:space="0" w:color="auto"/>
            <w:right w:val="none" w:sz="0" w:space="0" w:color="auto"/>
          </w:divBdr>
        </w:div>
        <w:div w:id="1903984629">
          <w:marLeft w:val="0"/>
          <w:marRight w:val="0"/>
          <w:marTop w:val="0"/>
          <w:marBottom w:val="0"/>
          <w:divBdr>
            <w:top w:val="none" w:sz="0" w:space="0" w:color="auto"/>
            <w:left w:val="none" w:sz="0" w:space="0" w:color="auto"/>
            <w:bottom w:val="none" w:sz="0" w:space="0" w:color="auto"/>
            <w:right w:val="none" w:sz="0" w:space="0" w:color="auto"/>
          </w:divBdr>
        </w:div>
      </w:divsChild>
    </w:div>
    <w:div w:id="1184321006">
      <w:bodyDiv w:val="1"/>
      <w:marLeft w:val="0"/>
      <w:marRight w:val="0"/>
      <w:marTop w:val="0"/>
      <w:marBottom w:val="0"/>
      <w:divBdr>
        <w:top w:val="none" w:sz="0" w:space="0" w:color="auto"/>
        <w:left w:val="none" w:sz="0" w:space="0" w:color="auto"/>
        <w:bottom w:val="none" w:sz="0" w:space="0" w:color="auto"/>
        <w:right w:val="none" w:sz="0" w:space="0" w:color="auto"/>
      </w:divBdr>
      <w:divsChild>
        <w:div w:id="965350749">
          <w:marLeft w:val="0"/>
          <w:marRight w:val="0"/>
          <w:marTop w:val="0"/>
          <w:marBottom w:val="0"/>
          <w:divBdr>
            <w:top w:val="none" w:sz="0" w:space="0" w:color="auto"/>
            <w:left w:val="none" w:sz="0" w:space="0" w:color="auto"/>
            <w:bottom w:val="none" w:sz="0" w:space="0" w:color="auto"/>
            <w:right w:val="none" w:sz="0" w:space="0" w:color="auto"/>
          </w:divBdr>
        </w:div>
        <w:div w:id="693968035">
          <w:marLeft w:val="0"/>
          <w:marRight w:val="0"/>
          <w:marTop w:val="0"/>
          <w:marBottom w:val="0"/>
          <w:divBdr>
            <w:top w:val="none" w:sz="0" w:space="0" w:color="auto"/>
            <w:left w:val="none" w:sz="0" w:space="0" w:color="auto"/>
            <w:bottom w:val="none" w:sz="0" w:space="0" w:color="auto"/>
            <w:right w:val="none" w:sz="0" w:space="0" w:color="auto"/>
          </w:divBdr>
        </w:div>
        <w:div w:id="411779390">
          <w:marLeft w:val="0"/>
          <w:marRight w:val="0"/>
          <w:marTop w:val="0"/>
          <w:marBottom w:val="0"/>
          <w:divBdr>
            <w:top w:val="none" w:sz="0" w:space="0" w:color="auto"/>
            <w:left w:val="none" w:sz="0" w:space="0" w:color="auto"/>
            <w:bottom w:val="none" w:sz="0" w:space="0" w:color="auto"/>
            <w:right w:val="none" w:sz="0" w:space="0" w:color="auto"/>
          </w:divBdr>
        </w:div>
        <w:div w:id="2010790582">
          <w:marLeft w:val="0"/>
          <w:marRight w:val="0"/>
          <w:marTop w:val="0"/>
          <w:marBottom w:val="0"/>
          <w:divBdr>
            <w:top w:val="none" w:sz="0" w:space="0" w:color="auto"/>
            <w:left w:val="none" w:sz="0" w:space="0" w:color="auto"/>
            <w:bottom w:val="none" w:sz="0" w:space="0" w:color="auto"/>
            <w:right w:val="none" w:sz="0" w:space="0" w:color="auto"/>
          </w:divBdr>
        </w:div>
        <w:div w:id="1616594947">
          <w:marLeft w:val="0"/>
          <w:marRight w:val="0"/>
          <w:marTop w:val="0"/>
          <w:marBottom w:val="0"/>
          <w:divBdr>
            <w:top w:val="none" w:sz="0" w:space="0" w:color="auto"/>
            <w:left w:val="none" w:sz="0" w:space="0" w:color="auto"/>
            <w:bottom w:val="none" w:sz="0" w:space="0" w:color="auto"/>
            <w:right w:val="none" w:sz="0" w:space="0" w:color="auto"/>
          </w:divBdr>
        </w:div>
        <w:div w:id="1147090329">
          <w:marLeft w:val="0"/>
          <w:marRight w:val="0"/>
          <w:marTop w:val="0"/>
          <w:marBottom w:val="0"/>
          <w:divBdr>
            <w:top w:val="none" w:sz="0" w:space="0" w:color="auto"/>
            <w:left w:val="none" w:sz="0" w:space="0" w:color="auto"/>
            <w:bottom w:val="none" w:sz="0" w:space="0" w:color="auto"/>
            <w:right w:val="none" w:sz="0" w:space="0" w:color="auto"/>
          </w:divBdr>
        </w:div>
      </w:divsChild>
    </w:div>
    <w:div w:id="1245065302">
      <w:bodyDiv w:val="1"/>
      <w:marLeft w:val="0"/>
      <w:marRight w:val="0"/>
      <w:marTop w:val="0"/>
      <w:marBottom w:val="0"/>
      <w:divBdr>
        <w:top w:val="none" w:sz="0" w:space="0" w:color="auto"/>
        <w:left w:val="none" w:sz="0" w:space="0" w:color="auto"/>
        <w:bottom w:val="none" w:sz="0" w:space="0" w:color="auto"/>
        <w:right w:val="none" w:sz="0" w:space="0" w:color="auto"/>
      </w:divBdr>
      <w:divsChild>
        <w:div w:id="348337993">
          <w:marLeft w:val="0"/>
          <w:marRight w:val="0"/>
          <w:marTop w:val="0"/>
          <w:marBottom w:val="0"/>
          <w:divBdr>
            <w:top w:val="none" w:sz="0" w:space="0" w:color="auto"/>
            <w:left w:val="none" w:sz="0" w:space="0" w:color="auto"/>
            <w:bottom w:val="none" w:sz="0" w:space="0" w:color="auto"/>
            <w:right w:val="none" w:sz="0" w:space="0" w:color="auto"/>
          </w:divBdr>
        </w:div>
        <w:div w:id="220141016">
          <w:marLeft w:val="0"/>
          <w:marRight w:val="0"/>
          <w:marTop w:val="0"/>
          <w:marBottom w:val="0"/>
          <w:divBdr>
            <w:top w:val="none" w:sz="0" w:space="0" w:color="auto"/>
            <w:left w:val="none" w:sz="0" w:space="0" w:color="auto"/>
            <w:bottom w:val="none" w:sz="0" w:space="0" w:color="auto"/>
            <w:right w:val="none" w:sz="0" w:space="0" w:color="auto"/>
          </w:divBdr>
        </w:div>
        <w:div w:id="258369565">
          <w:marLeft w:val="0"/>
          <w:marRight w:val="0"/>
          <w:marTop w:val="0"/>
          <w:marBottom w:val="0"/>
          <w:divBdr>
            <w:top w:val="none" w:sz="0" w:space="0" w:color="auto"/>
            <w:left w:val="none" w:sz="0" w:space="0" w:color="auto"/>
            <w:bottom w:val="none" w:sz="0" w:space="0" w:color="auto"/>
            <w:right w:val="none" w:sz="0" w:space="0" w:color="auto"/>
          </w:divBdr>
        </w:div>
      </w:divsChild>
    </w:div>
    <w:div w:id="1315987262">
      <w:bodyDiv w:val="1"/>
      <w:marLeft w:val="0"/>
      <w:marRight w:val="0"/>
      <w:marTop w:val="0"/>
      <w:marBottom w:val="0"/>
      <w:divBdr>
        <w:top w:val="none" w:sz="0" w:space="0" w:color="auto"/>
        <w:left w:val="none" w:sz="0" w:space="0" w:color="auto"/>
        <w:bottom w:val="none" w:sz="0" w:space="0" w:color="auto"/>
        <w:right w:val="none" w:sz="0" w:space="0" w:color="auto"/>
      </w:divBdr>
      <w:divsChild>
        <w:div w:id="1026295530">
          <w:marLeft w:val="0"/>
          <w:marRight w:val="0"/>
          <w:marTop w:val="0"/>
          <w:marBottom w:val="0"/>
          <w:divBdr>
            <w:top w:val="none" w:sz="0" w:space="0" w:color="auto"/>
            <w:left w:val="none" w:sz="0" w:space="0" w:color="auto"/>
            <w:bottom w:val="none" w:sz="0" w:space="0" w:color="auto"/>
            <w:right w:val="none" w:sz="0" w:space="0" w:color="auto"/>
          </w:divBdr>
        </w:div>
        <w:div w:id="1514219164">
          <w:marLeft w:val="0"/>
          <w:marRight w:val="0"/>
          <w:marTop w:val="0"/>
          <w:marBottom w:val="0"/>
          <w:divBdr>
            <w:top w:val="none" w:sz="0" w:space="0" w:color="auto"/>
            <w:left w:val="none" w:sz="0" w:space="0" w:color="auto"/>
            <w:bottom w:val="none" w:sz="0" w:space="0" w:color="auto"/>
            <w:right w:val="none" w:sz="0" w:space="0" w:color="auto"/>
          </w:divBdr>
        </w:div>
        <w:div w:id="951011527">
          <w:marLeft w:val="0"/>
          <w:marRight w:val="0"/>
          <w:marTop w:val="0"/>
          <w:marBottom w:val="0"/>
          <w:divBdr>
            <w:top w:val="none" w:sz="0" w:space="0" w:color="auto"/>
            <w:left w:val="none" w:sz="0" w:space="0" w:color="auto"/>
            <w:bottom w:val="none" w:sz="0" w:space="0" w:color="auto"/>
            <w:right w:val="none" w:sz="0" w:space="0" w:color="auto"/>
          </w:divBdr>
        </w:div>
        <w:div w:id="607660358">
          <w:marLeft w:val="0"/>
          <w:marRight w:val="0"/>
          <w:marTop w:val="0"/>
          <w:marBottom w:val="0"/>
          <w:divBdr>
            <w:top w:val="none" w:sz="0" w:space="0" w:color="auto"/>
            <w:left w:val="none" w:sz="0" w:space="0" w:color="auto"/>
            <w:bottom w:val="none" w:sz="0" w:space="0" w:color="auto"/>
            <w:right w:val="none" w:sz="0" w:space="0" w:color="auto"/>
          </w:divBdr>
        </w:div>
        <w:div w:id="2129816775">
          <w:marLeft w:val="0"/>
          <w:marRight w:val="0"/>
          <w:marTop w:val="0"/>
          <w:marBottom w:val="0"/>
          <w:divBdr>
            <w:top w:val="none" w:sz="0" w:space="0" w:color="auto"/>
            <w:left w:val="none" w:sz="0" w:space="0" w:color="auto"/>
            <w:bottom w:val="none" w:sz="0" w:space="0" w:color="auto"/>
            <w:right w:val="none" w:sz="0" w:space="0" w:color="auto"/>
          </w:divBdr>
        </w:div>
        <w:div w:id="618799098">
          <w:marLeft w:val="0"/>
          <w:marRight w:val="0"/>
          <w:marTop w:val="0"/>
          <w:marBottom w:val="0"/>
          <w:divBdr>
            <w:top w:val="none" w:sz="0" w:space="0" w:color="auto"/>
            <w:left w:val="none" w:sz="0" w:space="0" w:color="auto"/>
            <w:bottom w:val="none" w:sz="0" w:space="0" w:color="auto"/>
            <w:right w:val="none" w:sz="0" w:space="0" w:color="auto"/>
          </w:divBdr>
        </w:div>
        <w:div w:id="1007443927">
          <w:marLeft w:val="0"/>
          <w:marRight w:val="0"/>
          <w:marTop w:val="0"/>
          <w:marBottom w:val="0"/>
          <w:divBdr>
            <w:top w:val="none" w:sz="0" w:space="0" w:color="auto"/>
            <w:left w:val="none" w:sz="0" w:space="0" w:color="auto"/>
            <w:bottom w:val="none" w:sz="0" w:space="0" w:color="auto"/>
            <w:right w:val="none" w:sz="0" w:space="0" w:color="auto"/>
          </w:divBdr>
        </w:div>
        <w:div w:id="1406296215">
          <w:marLeft w:val="0"/>
          <w:marRight w:val="0"/>
          <w:marTop w:val="0"/>
          <w:marBottom w:val="0"/>
          <w:divBdr>
            <w:top w:val="none" w:sz="0" w:space="0" w:color="auto"/>
            <w:left w:val="none" w:sz="0" w:space="0" w:color="auto"/>
            <w:bottom w:val="none" w:sz="0" w:space="0" w:color="auto"/>
            <w:right w:val="none" w:sz="0" w:space="0" w:color="auto"/>
          </w:divBdr>
        </w:div>
        <w:div w:id="733427713">
          <w:marLeft w:val="0"/>
          <w:marRight w:val="0"/>
          <w:marTop w:val="0"/>
          <w:marBottom w:val="0"/>
          <w:divBdr>
            <w:top w:val="none" w:sz="0" w:space="0" w:color="auto"/>
            <w:left w:val="none" w:sz="0" w:space="0" w:color="auto"/>
            <w:bottom w:val="none" w:sz="0" w:space="0" w:color="auto"/>
            <w:right w:val="none" w:sz="0" w:space="0" w:color="auto"/>
          </w:divBdr>
        </w:div>
        <w:div w:id="329023328">
          <w:marLeft w:val="0"/>
          <w:marRight w:val="0"/>
          <w:marTop w:val="0"/>
          <w:marBottom w:val="0"/>
          <w:divBdr>
            <w:top w:val="none" w:sz="0" w:space="0" w:color="auto"/>
            <w:left w:val="none" w:sz="0" w:space="0" w:color="auto"/>
            <w:bottom w:val="none" w:sz="0" w:space="0" w:color="auto"/>
            <w:right w:val="none" w:sz="0" w:space="0" w:color="auto"/>
          </w:divBdr>
        </w:div>
        <w:div w:id="570308417">
          <w:marLeft w:val="0"/>
          <w:marRight w:val="0"/>
          <w:marTop w:val="0"/>
          <w:marBottom w:val="0"/>
          <w:divBdr>
            <w:top w:val="none" w:sz="0" w:space="0" w:color="auto"/>
            <w:left w:val="none" w:sz="0" w:space="0" w:color="auto"/>
            <w:bottom w:val="none" w:sz="0" w:space="0" w:color="auto"/>
            <w:right w:val="none" w:sz="0" w:space="0" w:color="auto"/>
          </w:divBdr>
        </w:div>
        <w:div w:id="1641694525">
          <w:marLeft w:val="0"/>
          <w:marRight w:val="0"/>
          <w:marTop w:val="0"/>
          <w:marBottom w:val="0"/>
          <w:divBdr>
            <w:top w:val="none" w:sz="0" w:space="0" w:color="auto"/>
            <w:left w:val="none" w:sz="0" w:space="0" w:color="auto"/>
            <w:bottom w:val="none" w:sz="0" w:space="0" w:color="auto"/>
            <w:right w:val="none" w:sz="0" w:space="0" w:color="auto"/>
          </w:divBdr>
        </w:div>
      </w:divsChild>
    </w:div>
    <w:div w:id="1403483805">
      <w:bodyDiv w:val="1"/>
      <w:marLeft w:val="0"/>
      <w:marRight w:val="0"/>
      <w:marTop w:val="0"/>
      <w:marBottom w:val="0"/>
      <w:divBdr>
        <w:top w:val="none" w:sz="0" w:space="0" w:color="auto"/>
        <w:left w:val="none" w:sz="0" w:space="0" w:color="auto"/>
        <w:bottom w:val="none" w:sz="0" w:space="0" w:color="auto"/>
        <w:right w:val="none" w:sz="0" w:space="0" w:color="auto"/>
      </w:divBdr>
      <w:divsChild>
        <w:div w:id="1535267433">
          <w:marLeft w:val="0"/>
          <w:marRight w:val="0"/>
          <w:marTop w:val="0"/>
          <w:marBottom w:val="0"/>
          <w:divBdr>
            <w:top w:val="none" w:sz="0" w:space="0" w:color="auto"/>
            <w:left w:val="none" w:sz="0" w:space="0" w:color="auto"/>
            <w:bottom w:val="none" w:sz="0" w:space="0" w:color="auto"/>
            <w:right w:val="none" w:sz="0" w:space="0" w:color="auto"/>
          </w:divBdr>
        </w:div>
        <w:div w:id="503597497">
          <w:marLeft w:val="0"/>
          <w:marRight w:val="0"/>
          <w:marTop w:val="0"/>
          <w:marBottom w:val="0"/>
          <w:divBdr>
            <w:top w:val="none" w:sz="0" w:space="0" w:color="auto"/>
            <w:left w:val="none" w:sz="0" w:space="0" w:color="auto"/>
            <w:bottom w:val="none" w:sz="0" w:space="0" w:color="auto"/>
            <w:right w:val="none" w:sz="0" w:space="0" w:color="auto"/>
          </w:divBdr>
        </w:div>
        <w:div w:id="1625303972">
          <w:marLeft w:val="0"/>
          <w:marRight w:val="0"/>
          <w:marTop w:val="0"/>
          <w:marBottom w:val="0"/>
          <w:divBdr>
            <w:top w:val="none" w:sz="0" w:space="0" w:color="auto"/>
            <w:left w:val="none" w:sz="0" w:space="0" w:color="auto"/>
            <w:bottom w:val="none" w:sz="0" w:space="0" w:color="auto"/>
            <w:right w:val="none" w:sz="0" w:space="0" w:color="auto"/>
          </w:divBdr>
        </w:div>
        <w:div w:id="1313680406">
          <w:marLeft w:val="0"/>
          <w:marRight w:val="0"/>
          <w:marTop w:val="0"/>
          <w:marBottom w:val="0"/>
          <w:divBdr>
            <w:top w:val="none" w:sz="0" w:space="0" w:color="auto"/>
            <w:left w:val="none" w:sz="0" w:space="0" w:color="auto"/>
            <w:bottom w:val="none" w:sz="0" w:space="0" w:color="auto"/>
            <w:right w:val="none" w:sz="0" w:space="0" w:color="auto"/>
          </w:divBdr>
        </w:div>
        <w:div w:id="1522819170">
          <w:marLeft w:val="0"/>
          <w:marRight w:val="0"/>
          <w:marTop w:val="0"/>
          <w:marBottom w:val="0"/>
          <w:divBdr>
            <w:top w:val="none" w:sz="0" w:space="0" w:color="auto"/>
            <w:left w:val="none" w:sz="0" w:space="0" w:color="auto"/>
            <w:bottom w:val="none" w:sz="0" w:space="0" w:color="auto"/>
            <w:right w:val="none" w:sz="0" w:space="0" w:color="auto"/>
          </w:divBdr>
        </w:div>
        <w:div w:id="1134905106">
          <w:marLeft w:val="0"/>
          <w:marRight w:val="0"/>
          <w:marTop w:val="0"/>
          <w:marBottom w:val="0"/>
          <w:divBdr>
            <w:top w:val="none" w:sz="0" w:space="0" w:color="auto"/>
            <w:left w:val="none" w:sz="0" w:space="0" w:color="auto"/>
            <w:bottom w:val="none" w:sz="0" w:space="0" w:color="auto"/>
            <w:right w:val="none" w:sz="0" w:space="0" w:color="auto"/>
          </w:divBdr>
        </w:div>
        <w:div w:id="558326299">
          <w:marLeft w:val="0"/>
          <w:marRight w:val="0"/>
          <w:marTop w:val="0"/>
          <w:marBottom w:val="0"/>
          <w:divBdr>
            <w:top w:val="none" w:sz="0" w:space="0" w:color="auto"/>
            <w:left w:val="none" w:sz="0" w:space="0" w:color="auto"/>
            <w:bottom w:val="none" w:sz="0" w:space="0" w:color="auto"/>
            <w:right w:val="none" w:sz="0" w:space="0" w:color="auto"/>
          </w:divBdr>
        </w:div>
        <w:div w:id="945192075">
          <w:marLeft w:val="0"/>
          <w:marRight w:val="0"/>
          <w:marTop w:val="0"/>
          <w:marBottom w:val="0"/>
          <w:divBdr>
            <w:top w:val="none" w:sz="0" w:space="0" w:color="auto"/>
            <w:left w:val="none" w:sz="0" w:space="0" w:color="auto"/>
            <w:bottom w:val="none" w:sz="0" w:space="0" w:color="auto"/>
            <w:right w:val="none" w:sz="0" w:space="0" w:color="auto"/>
          </w:divBdr>
        </w:div>
        <w:div w:id="95054113">
          <w:marLeft w:val="0"/>
          <w:marRight w:val="0"/>
          <w:marTop w:val="0"/>
          <w:marBottom w:val="0"/>
          <w:divBdr>
            <w:top w:val="none" w:sz="0" w:space="0" w:color="auto"/>
            <w:left w:val="none" w:sz="0" w:space="0" w:color="auto"/>
            <w:bottom w:val="none" w:sz="0" w:space="0" w:color="auto"/>
            <w:right w:val="none" w:sz="0" w:space="0" w:color="auto"/>
          </w:divBdr>
        </w:div>
        <w:div w:id="92696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stjadhav</dc:creator>
  <cp:lastModifiedBy>Home</cp:lastModifiedBy>
  <cp:revision>5</cp:revision>
  <dcterms:created xsi:type="dcterms:W3CDTF">2021-08-27T05:44:00Z</dcterms:created>
  <dcterms:modified xsi:type="dcterms:W3CDTF">2021-09-14T08:54:00Z</dcterms:modified>
</cp:coreProperties>
</file>