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35F" w:rsidRPr="0056435F" w:rsidRDefault="009135E2" w:rsidP="009135E2">
      <w:pPr>
        <w:rPr>
          <w:rFonts w:ascii="Book Antiqua" w:hAnsi="Book Antiqua" w:cs="Arial"/>
          <w:b/>
          <w:sz w:val="24"/>
          <w:szCs w:val="24"/>
          <w:shd w:val="clear" w:color="auto" w:fill="FFFFFF"/>
        </w:rPr>
      </w:pPr>
      <w:r w:rsidRPr="0056435F">
        <w:rPr>
          <w:rFonts w:ascii="Book Antiqua" w:hAnsi="Book Antiqua" w:cs="Arial"/>
          <w:b/>
          <w:sz w:val="24"/>
          <w:szCs w:val="24"/>
          <w:shd w:val="clear" w:color="auto" w:fill="FFFFFF"/>
        </w:rPr>
        <w:t> </w:t>
      </w:r>
      <w:r w:rsidR="0056435F" w:rsidRPr="0056435F">
        <w:rPr>
          <w:rFonts w:ascii="Book Antiqua" w:hAnsi="Book Antiqua" w:cs="Arial"/>
          <w:b/>
          <w:sz w:val="24"/>
          <w:szCs w:val="24"/>
          <w:shd w:val="clear" w:color="auto" w:fill="FFFFFF"/>
        </w:rPr>
        <w:t>Scope of Work</w:t>
      </w:r>
    </w:p>
    <w:p w:rsidR="009135E2" w:rsidRPr="0056435F" w:rsidRDefault="0056435F" w:rsidP="0056435F">
      <w:pPr>
        <w:jc w:val="both"/>
        <w:rPr>
          <w:rFonts w:ascii="Book Antiqua" w:hAnsi="Book Antiqua" w:cs="Arial"/>
          <w:sz w:val="24"/>
          <w:szCs w:val="24"/>
          <w:shd w:val="clear" w:color="auto" w:fill="FFFFFF"/>
        </w:rPr>
      </w:pPr>
      <w:r w:rsidRPr="0056435F">
        <w:rPr>
          <w:rFonts w:ascii="Book Antiqua" w:hAnsi="Book Antiqua" w:cs="Arial"/>
          <w:sz w:val="24"/>
          <w:szCs w:val="24"/>
          <w:shd w:val="clear" w:color="auto" w:fill="FFFFFF"/>
        </w:rPr>
        <w:t xml:space="preserve">Sponsorship costs for </w:t>
      </w:r>
      <w:r w:rsidR="009135E2" w:rsidRPr="0056435F">
        <w:rPr>
          <w:rFonts w:ascii="Book Antiqua" w:hAnsi="Book Antiqua" w:cs="Arial"/>
          <w:sz w:val="24"/>
          <w:szCs w:val="24"/>
          <w:shd w:val="clear" w:color="auto" w:fill="FFFFFF"/>
        </w:rPr>
        <w:t xml:space="preserve">Emerging Voices for Global Health (EV4GH) </w:t>
      </w:r>
      <w:r w:rsidRPr="0056435F">
        <w:rPr>
          <w:rFonts w:ascii="Book Antiqua" w:hAnsi="Book Antiqua" w:cs="Arial"/>
          <w:sz w:val="24"/>
          <w:szCs w:val="24"/>
          <w:shd w:val="clear" w:color="auto" w:fill="FFFFFF"/>
        </w:rPr>
        <w:t>for</w:t>
      </w:r>
      <w:r w:rsidR="009135E2" w:rsidRPr="0056435F">
        <w:rPr>
          <w:rFonts w:ascii="Book Antiqua" w:hAnsi="Book Antiqua" w:cs="Arial"/>
          <w:sz w:val="24"/>
          <w:szCs w:val="24"/>
          <w:shd w:val="clear" w:color="auto" w:fill="FFFFFF"/>
        </w:rPr>
        <w:t> </w:t>
      </w:r>
      <w:r w:rsidR="009135E2" w:rsidRPr="0056435F">
        <w:rPr>
          <w:rFonts w:ascii="Book Antiqua" w:hAnsi="Book Antiqua" w:cs="Arial"/>
          <w:b/>
          <w:bCs/>
          <w:sz w:val="24"/>
          <w:szCs w:val="24"/>
          <w:shd w:val="clear" w:color="auto" w:fill="FFFFFF"/>
        </w:rPr>
        <w:t>Two (2) promising early-career Indian researchers</w:t>
      </w:r>
      <w:r w:rsidR="009135E2" w:rsidRPr="0056435F">
        <w:rPr>
          <w:rFonts w:ascii="Book Antiqua" w:hAnsi="Book Antiqua" w:cs="Arial"/>
          <w:sz w:val="24"/>
          <w:szCs w:val="24"/>
          <w:shd w:val="clear" w:color="auto" w:fill="FFFFFF"/>
        </w:rPr>
        <w:t xml:space="preserve"> to be part of the program to be </w:t>
      </w:r>
      <w:r w:rsidRPr="0056435F">
        <w:rPr>
          <w:rFonts w:ascii="Book Antiqua" w:hAnsi="Book Antiqua" w:cs="Arial"/>
          <w:sz w:val="24"/>
          <w:szCs w:val="24"/>
          <w:shd w:val="clear" w:color="auto" w:fill="FFFFFF"/>
        </w:rPr>
        <w:t>organized</w:t>
      </w:r>
      <w:r w:rsidR="009135E2" w:rsidRPr="0056435F">
        <w:rPr>
          <w:rFonts w:ascii="Book Antiqua" w:hAnsi="Book Antiqua" w:cs="Arial"/>
          <w:sz w:val="24"/>
          <w:szCs w:val="24"/>
          <w:shd w:val="clear" w:color="auto" w:fill="FFFFFF"/>
        </w:rPr>
        <w:t xml:space="preserve"> in Dubai </w:t>
      </w:r>
      <w:r w:rsidRPr="0056435F">
        <w:rPr>
          <w:rFonts w:ascii="Book Antiqua" w:hAnsi="Book Antiqua" w:cs="Arial"/>
          <w:sz w:val="24"/>
          <w:szCs w:val="24"/>
          <w:shd w:val="clear" w:color="auto" w:fill="FFFFFF"/>
        </w:rPr>
        <w:t>in November 2021</w:t>
      </w:r>
      <w:r w:rsidR="009135E2" w:rsidRPr="0056435F">
        <w:rPr>
          <w:rFonts w:ascii="Book Antiqua" w:hAnsi="Book Antiqua" w:cs="Arial"/>
          <w:sz w:val="24"/>
          <w:szCs w:val="24"/>
          <w:shd w:val="clear" w:color="auto" w:fill="FFFFFF"/>
        </w:rPr>
        <w:t>. EV4GH coaches “Emerging Voices” (EV) to participate actively in international conferences where global health issues are addressed and to raise their voice in scientific and policy debates. The program will enable the researcher to gain a strong understanding of the macro-level trends, debates, and discussions in health systems research and an opportunity to collaborate with alumni and mentors to encourage them to be better researchers.</w:t>
      </w:r>
    </w:p>
    <w:tbl>
      <w:tblPr>
        <w:tblW w:w="8320" w:type="dxa"/>
        <w:tblInd w:w="97" w:type="dxa"/>
        <w:tblLook w:val="04A0"/>
      </w:tblPr>
      <w:tblGrid>
        <w:gridCol w:w="4668"/>
        <w:gridCol w:w="1709"/>
        <w:gridCol w:w="336"/>
        <w:gridCol w:w="803"/>
        <w:gridCol w:w="1180"/>
      </w:tblGrid>
      <w:tr w:rsidR="006F6836" w:rsidRPr="006F6836" w:rsidTr="006F6836">
        <w:trPr>
          <w:trHeight w:val="300"/>
        </w:trPr>
        <w:tc>
          <w:tcPr>
            <w:tcW w:w="8320" w:type="dxa"/>
            <w:gridSpan w:val="5"/>
            <w:tcBorders>
              <w:top w:val="single" w:sz="4" w:space="0" w:color="auto"/>
              <w:left w:val="single" w:sz="4" w:space="0" w:color="auto"/>
              <w:bottom w:val="single" w:sz="4" w:space="0" w:color="auto"/>
              <w:right w:val="single" w:sz="4" w:space="0" w:color="auto"/>
            </w:tcBorders>
            <w:shd w:val="clear" w:color="000000" w:fill="C5E0B2"/>
            <w:noWrap/>
            <w:vAlign w:val="bottom"/>
            <w:hideMark/>
          </w:tcPr>
          <w:p w:rsidR="006F6836" w:rsidRPr="006F6836" w:rsidRDefault="006F6836" w:rsidP="006F6836">
            <w:pPr>
              <w:spacing w:after="0" w:line="240" w:lineRule="auto"/>
              <w:jc w:val="center"/>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 xml:space="preserve">Cost Elements for </w:t>
            </w:r>
            <w:proofErr w:type="spellStart"/>
            <w:r w:rsidRPr="006F6836">
              <w:rPr>
                <w:rFonts w:ascii="Book Antiqua" w:eastAsia="Times New Roman" w:hAnsi="Book Antiqua" w:cs="Calibri"/>
                <w:b/>
                <w:bCs/>
                <w:color w:val="000000"/>
                <w:sz w:val="24"/>
                <w:szCs w:val="24"/>
              </w:rPr>
              <w:t>Kochupurackal</w:t>
            </w:r>
            <w:proofErr w:type="spellEnd"/>
            <w:r w:rsidRPr="006F6836">
              <w:rPr>
                <w:rFonts w:ascii="Book Antiqua" w:eastAsia="Times New Roman" w:hAnsi="Book Antiqua" w:cs="Calibri"/>
                <w:b/>
                <w:bCs/>
                <w:color w:val="000000"/>
                <w:sz w:val="24"/>
                <w:szCs w:val="24"/>
              </w:rPr>
              <w:t xml:space="preserve"> </w:t>
            </w:r>
            <w:proofErr w:type="spellStart"/>
            <w:r w:rsidRPr="006F6836">
              <w:rPr>
                <w:rFonts w:ascii="Book Antiqua" w:eastAsia="Times New Roman" w:hAnsi="Book Antiqua" w:cs="Calibri"/>
                <w:b/>
                <w:bCs/>
                <w:color w:val="000000"/>
                <w:sz w:val="24"/>
                <w:szCs w:val="24"/>
              </w:rPr>
              <w:t>Ulahannan</w:t>
            </w:r>
            <w:proofErr w:type="spellEnd"/>
            <w:r w:rsidRPr="006F6836">
              <w:rPr>
                <w:rFonts w:ascii="Book Antiqua" w:eastAsia="Times New Roman" w:hAnsi="Book Antiqua" w:cs="Calibri"/>
                <w:b/>
                <w:bCs/>
                <w:color w:val="000000"/>
                <w:sz w:val="24"/>
                <w:szCs w:val="24"/>
              </w:rPr>
              <w:t xml:space="preserve"> </w:t>
            </w:r>
            <w:proofErr w:type="spellStart"/>
            <w:r w:rsidRPr="006F6836">
              <w:rPr>
                <w:rFonts w:ascii="Book Antiqua" w:eastAsia="Times New Roman" w:hAnsi="Book Antiqua" w:cs="Calibri"/>
                <w:b/>
                <w:bCs/>
                <w:color w:val="000000"/>
                <w:sz w:val="24"/>
                <w:szCs w:val="24"/>
              </w:rPr>
              <w:t>Sabu</w:t>
            </w:r>
            <w:proofErr w:type="spellEnd"/>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Item</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Unit Cost (AED)</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Ratio</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Cost (AED)</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Accommodation Cost (1 night single)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410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410</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Accommodation Cost (6 night double)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220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6</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1320</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Breakfast Cost (7 days)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35</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7</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245</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Dinner at Accommodation Venue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100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3</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300</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COVID Test prior to Departure from Dubai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150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150</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Single Entry Visa Cost with Travel Insurance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661.05</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661.05</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Flight Cost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2,343.75</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2343.75</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Airport Transfer (2 way)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120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2</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240</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Dinner Costs (Farewell/ Welcome)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350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2</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700</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Transport to &amp; From Dinners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80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2</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160</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Transport to &amp; From COVID Centre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80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80</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Management Fees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1,231.00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1231</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UAE VAT 5% on total Invoice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384.23</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384.23</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Total</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 </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 </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8225.03</w:t>
            </w:r>
          </w:p>
        </w:tc>
      </w:tr>
    </w:tbl>
    <w:p w:rsidR="0056435F" w:rsidRDefault="0056435F" w:rsidP="0056435F">
      <w:pPr>
        <w:jc w:val="both"/>
        <w:rPr>
          <w:rFonts w:ascii="Book Antiqua" w:hAnsi="Book Antiqua" w:cs="Arial"/>
          <w:sz w:val="24"/>
          <w:szCs w:val="24"/>
          <w:shd w:val="clear" w:color="auto" w:fill="FFFFFF"/>
        </w:rPr>
      </w:pPr>
    </w:p>
    <w:p w:rsidR="006F6836" w:rsidRDefault="006F6836" w:rsidP="0056435F">
      <w:pPr>
        <w:jc w:val="both"/>
        <w:rPr>
          <w:rFonts w:ascii="Book Antiqua" w:hAnsi="Book Antiqua" w:cs="Arial"/>
          <w:sz w:val="24"/>
          <w:szCs w:val="24"/>
          <w:shd w:val="clear" w:color="auto" w:fill="FFFFFF"/>
        </w:rPr>
      </w:pPr>
    </w:p>
    <w:p w:rsidR="006F6836" w:rsidRDefault="006F6836" w:rsidP="0056435F">
      <w:pPr>
        <w:jc w:val="both"/>
        <w:rPr>
          <w:rFonts w:ascii="Book Antiqua" w:hAnsi="Book Antiqua" w:cs="Arial"/>
          <w:sz w:val="24"/>
          <w:szCs w:val="24"/>
          <w:shd w:val="clear" w:color="auto" w:fill="FFFFFF"/>
        </w:rPr>
      </w:pPr>
    </w:p>
    <w:p w:rsidR="006F6836" w:rsidRDefault="006F6836" w:rsidP="0056435F">
      <w:pPr>
        <w:jc w:val="both"/>
        <w:rPr>
          <w:rFonts w:ascii="Book Antiqua" w:hAnsi="Book Antiqua" w:cs="Arial"/>
          <w:sz w:val="24"/>
          <w:szCs w:val="24"/>
          <w:shd w:val="clear" w:color="auto" w:fill="FFFFFF"/>
        </w:rPr>
      </w:pPr>
    </w:p>
    <w:p w:rsidR="006F6836" w:rsidRDefault="006F6836" w:rsidP="0056435F">
      <w:pPr>
        <w:jc w:val="both"/>
        <w:rPr>
          <w:rFonts w:ascii="Book Antiqua" w:hAnsi="Book Antiqua" w:cs="Arial"/>
          <w:sz w:val="24"/>
          <w:szCs w:val="24"/>
          <w:shd w:val="clear" w:color="auto" w:fill="FFFFFF"/>
        </w:rPr>
      </w:pPr>
    </w:p>
    <w:p w:rsidR="006F6836" w:rsidRDefault="006F6836" w:rsidP="0056435F">
      <w:pPr>
        <w:jc w:val="both"/>
        <w:rPr>
          <w:rFonts w:ascii="Book Antiqua" w:hAnsi="Book Antiqua" w:cs="Arial"/>
          <w:sz w:val="24"/>
          <w:szCs w:val="24"/>
          <w:shd w:val="clear" w:color="auto" w:fill="FFFFFF"/>
        </w:rPr>
      </w:pPr>
    </w:p>
    <w:p w:rsidR="006F6836" w:rsidRDefault="006F6836" w:rsidP="0056435F">
      <w:pPr>
        <w:jc w:val="both"/>
        <w:rPr>
          <w:rFonts w:ascii="Book Antiqua" w:hAnsi="Book Antiqua" w:cs="Arial"/>
          <w:sz w:val="24"/>
          <w:szCs w:val="24"/>
          <w:shd w:val="clear" w:color="auto" w:fill="FFFFFF"/>
        </w:rPr>
      </w:pPr>
    </w:p>
    <w:tbl>
      <w:tblPr>
        <w:tblW w:w="8320" w:type="dxa"/>
        <w:tblInd w:w="97" w:type="dxa"/>
        <w:tblLook w:val="04A0"/>
      </w:tblPr>
      <w:tblGrid>
        <w:gridCol w:w="4668"/>
        <w:gridCol w:w="1709"/>
        <w:gridCol w:w="336"/>
        <w:gridCol w:w="803"/>
        <w:gridCol w:w="1180"/>
      </w:tblGrid>
      <w:tr w:rsidR="006F6836" w:rsidRPr="006F6836" w:rsidTr="006F6836">
        <w:trPr>
          <w:trHeight w:val="300"/>
        </w:trPr>
        <w:tc>
          <w:tcPr>
            <w:tcW w:w="8320" w:type="dxa"/>
            <w:gridSpan w:val="5"/>
            <w:tcBorders>
              <w:top w:val="single" w:sz="4" w:space="0" w:color="auto"/>
              <w:left w:val="single" w:sz="4" w:space="0" w:color="auto"/>
              <w:bottom w:val="single" w:sz="4" w:space="0" w:color="auto"/>
              <w:right w:val="single" w:sz="4" w:space="0" w:color="auto"/>
            </w:tcBorders>
            <w:shd w:val="clear" w:color="000000" w:fill="C5E0B2"/>
            <w:noWrap/>
            <w:vAlign w:val="bottom"/>
            <w:hideMark/>
          </w:tcPr>
          <w:p w:rsidR="006F6836" w:rsidRPr="006F6836" w:rsidRDefault="006F6836" w:rsidP="006F6836">
            <w:pPr>
              <w:spacing w:after="0" w:line="240" w:lineRule="auto"/>
              <w:jc w:val="center"/>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 xml:space="preserve">Cost Elements for </w:t>
            </w:r>
            <w:proofErr w:type="spellStart"/>
            <w:r w:rsidRPr="006F6836">
              <w:rPr>
                <w:rFonts w:ascii="Book Antiqua" w:eastAsia="Times New Roman" w:hAnsi="Book Antiqua" w:cs="Calibri"/>
                <w:b/>
                <w:bCs/>
                <w:color w:val="000000"/>
                <w:sz w:val="24"/>
                <w:szCs w:val="24"/>
              </w:rPr>
              <w:t>Sreenidhi</w:t>
            </w:r>
            <w:proofErr w:type="spellEnd"/>
            <w:r w:rsidRPr="006F6836">
              <w:rPr>
                <w:rFonts w:ascii="Book Antiqua" w:eastAsia="Times New Roman" w:hAnsi="Book Antiqua" w:cs="Calibri"/>
                <w:b/>
                <w:bCs/>
                <w:color w:val="000000"/>
                <w:sz w:val="24"/>
                <w:szCs w:val="24"/>
              </w:rPr>
              <w:t xml:space="preserve"> </w:t>
            </w:r>
            <w:proofErr w:type="spellStart"/>
            <w:r w:rsidRPr="006F6836">
              <w:rPr>
                <w:rFonts w:ascii="Book Antiqua" w:eastAsia="Times New Roman" w:hAnsi="Book Antiqua" w:cs="Calibri"/>
                <w:b/>
                <w:bCs/>
                <w:color w:val="000000"/>
                <w:sz w:val="24"/>
                <w:szCs w:val="24"/>
              </w:rPr>
              <w:t>Sreekumar</w:t>
            </w:r>
            <w:proofErr w:type="spellEnd"/>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Item</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Unit Cost (AED)</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Ratio</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Cost (AED)</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Accommodation Cost (1 night single)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410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410</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Accommodation Cost (6 night double)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220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6</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1320</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Breakfast Cost (7 days)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35</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7</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245</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Dinner at Accommodation Venue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100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3</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300</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COVID Test prior to Departure from Dubai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150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150</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Single Entry Visa Cost with Travel Insurance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661.05</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661.05</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Flight Cost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2,343.75</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2343.75</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Airport Transfer (2 way)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120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2</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240</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Dinner Costs (Farewell/ Welcome)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350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2</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700</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Transport to &amp; From Dinners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80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2</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160</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Transport to &amp; From COVID Centre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80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80</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Management Fees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1,231.00</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1231</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 xml:space="preserve">UAE VAT 5% on total Invoice </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384.23</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1</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color w:val="000000"/>
                <w:sz w:val="24"/>
                <w:szCs w:val="24"/>
              </w:rPr>
            </w:pPr>
            <w:r w:rsidRPr="006F6836">
              <w:rPr>
                <w:rFonts w:ascii="Book Antiqua" w:eastAsia="Times New Roman" w:hAnsi="Book Antiqua" w:cs="Calibri"/>
                <w:color w:val="000000"/>
                <w:sz w:val="24"/>
                <w:szCs w:val="24"/>
              </w:rPr>
              <w:t>384.23</w:t>
            </w:r>
          </w:p>
        </w:tc>
      </w:tr>
      <w:tr w:rsidR="006F6836" w:rsidRPr="006F6836" w:rsidTr="006F6836">
        <w:trPr>
          <w:trHeight w:val="300"/>
        </w:trPr>
        <w:tc>
          <w:tcPr>
            <w:tcW w:w="4668" w:type="dxa"/>
            <w:tcBorders>
              <w:top w:val="nil"/>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Total</w:t>
            </w:r>
          </w:p>
        </w:tc>
        <w:tc>
          <w:tcPr>
            <w:tcW w:w="1709"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 </w:t>
            </w:r>
          </w:p>
        </w:tc>
        <w:tc>
          <w:tcPr>
            <w:tcW w:w="16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 </w:t>
            </w:r>
          </w:p>
        </w:tc>
        <w:tc>
          <w:tcPr>
            <w:tcW w:w="1180" w:type="dxa"/>
            <w:tcBorders>
              <w:top w:val="nil"/>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b/>
                <w:bCs/>
                <w:color w:val="000000"/>
                <w:sz w:val="24"/>
                <w:szCs w:val="24"/>
              </w:rPr>
            </w:pPr>
            <w:r w:rsidRPr="006F6836">
              <w:rPr>
                <w:rFonts w:ascii="Book Antiqua" w:eastAsia="Times New Roman" w:hAnsi="Book Antiqua" w:cs="Calibri"/>
                <w:b/>
                <w:bCs/>
                <w:color w:val="000000"/>
                <w:sz w:val="24"/>
                <w:szCs w:val="24"/>
              </w:rPr>
              <w:t>8225.03</w:t>
            </w:r>
          </w:p>
        </w:tc>
      </w:tr>
      <w:tr w:rsidR="006F6836" w:rsidRPr="006F6836" w:rsidTr="006F6836">
        <w:trPr>
          <w:trHeight w:val="300"/>
        </w:trPr>
        <w:tc>
          <w:tcPr>
            <w:tcW w:w="4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r>
              <w:rPr>
                <w:rFonts w:ascii="Book Antiqua" w:eastAsia="Times New Roman" w:hAnsi="Book Antiqua" w:cs="Calibri"/>
                <w:b/>
                <w:bCs/>
                <w:color w:val="000000"/>
                <w:sz w:val="24"/>
                <w:szCs w:val="24"/>
              </w:rPr>
              <w:t>Grand Total</w:t>
            </w:r>
          </w:p>
        </w:tc>
        <w:tc>
          <w:tcPr>
            <w:tcW w:w="1709" w:type="dxa"/>
            <w:tcBorders>
              <w:top w:val="single" w:sz="4" w:space="0" w:color="auto"/>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p>
        </w:tc>
        <w:tc>
          <w:tcPr>
            <w:tcW w:w="160" w:type="dxa"/>
            <w:tcBorders>
              <w:top w:val="single" w:sz="4" w:space="0" w:color="auto"/>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p>
        </w:tc>
        <w:tc>
          <w:tcPr>
            <w:tcW w:w="603" w:type="dxa"/>
            <w:tcBorders>
              <w:top w:val="single" w:sz="4" w:space="0" w:color="auto"/>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rPr>
                <w:rFonts w:ascii="Book Antiqua" w:eastAsia="Times New Roman" w:hAnsi="Book Antiqua" w:cs="Calibri"/>
                <w:b/>
                <w:bCs/>
                <w:color w:val="000000"/>
                <w:sz w:val="24"/>
                <w:szCs w:val="24"/>
              </w:rPr>
            </w:pP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6F6836" w:rsidRPr="006F6836" w:rsidRDefault="006F6836" w:rsidP="006F6836">
            <w:pPr>
              <w:spacing w:after="0" w:line="240" w:lineRule="auto"/>
              <w:jc w:val="right"/>
              <w:rPr>
                <w:rFonts w:ascii="Book Antiqua" w:eastAsia="Times New Roman" w:hAnsi="Book Antiqua" w:cs="Calibri"/>
                <w:b/>
                <w:bCs/>
                <w:color w:val="000000"/>
                <w:sz w:val="24"/>
                <w:szCs w:val="24"/>
              </w:rPr>
            </w:pPr>
            <w:r>
              <w:rPr>
                <w:rFonts w:ascii="Book Antiqua" w:eastAsia="Times New Roman" w:hAnsi="Book Antiqua" w:cs="Calibri"/>
                <w:b/>
                <w:bCs/>
                <w:color w:val="000000"/>
                <w:sz w:val="24"/>
                <w:szCs w:val="24"/>
              </w:rPr>
              <w:t>16450</w:t>
            </w:r>
          </w:p>
        </w:tc>
      </w:tr>
    </w:tbl>
    <w:p w:rsidR="006F6836" w:rsidRPr="0056435F" w:rsidRDefault="006F6836" w:rsidP="0056435F">
      <w:pPr>
        <w:jc w:val="both"/>
        <w:rPr>
          <w:rFonts w:ascii="Book Antiqua" w:hAnsi="Book Antiqua" w:cs="Arial"/>
          <w:sz w:val="24"/>
          <w:szCs w:val="24"/>
          <w:shd w:val="clear" w:color="auto" w:fill="FFFFFF"/>
        </w:rPr>
      </w:pPr>
    </w:p>
    <w:p w:rsidR="0056435F" w:rsidRPr="0056435F" w:rsidRDefault="0056435F" w:rsidP="009135E2">
      <w:pPr>
        <w:rPr>
          <w:rFonts w:ascii="Book Antiqua" w:hAnsi="Book Antiqua" w:cs="Arial"/>
          <w:b/>
          <w:sz w:val="24"/>
          <w:szCs w:val="24"/>
          <w:shd w:val="clear" w:color="auto" w:fill="FFFFFF"/>
        </w:rPr>
      </w:pPr>
      <w:r w:rsidRPr="0056435F">
        <w:rPr>
          <w:rFonts w:ascii="Book Antiqua" w:hAnsi="Book Antiqua" w:cs="Arial"/>
          <w:b/>
          <w:sz w:val="24"/>
          <w:szCs w:val="24"/>
          <w:shd w:val="clear" w:color="auto" w:fill="FFFFFF"/>
        </w:rPr>
        <w:t>Service Fee</w:t>
      </w:r>
    </w:p>
    <w:p w:rsidR="0056435F" w:rsidRPr="0056435F" w:rsidRDefault="0056435F" w:rsidP="0056435F">
      <w:pPr>
        <w:jc w:val="both"/>
        <w:rPr>
          <w:rFonts w:ascii="Book Antiqua" w:hAnsi="Book Antiqua" w:cs="Arial"/>
          <w:sz w:val="24"/>
          <w:szCs w:val="24"/>
        </w:rPr>
      </w:pPr>
      <w:r w:rsidRPr="0056435F">
        <w:rPr>
          <w:rFonts w:ascii="Book Antiqua" w:hAnsi="Book Antiqua" w:cs="Arial"/>
          <w:sz w:val="24"/>
          <w:szCs w:val="24"/>
        </w:rPr>
        <w:t xml:space="preserve">A total service fee of </w:t>
      </w:r>
      <w:r w:rsidR="006F6836">
        <w:rPr>
          <w:rFonts w:ascii="Book Antiqua" w:hAnsi="Book Antiqua" w:cs="Arial"/>
          <w:sz w:val="24"/>
          <w:szCs w:val="24"/>
        </w:rPr>
        <w:t>AED 16450/</w:t>
      </w:r>
      <w:r w:rsidRPr="0056435F">
        <w:rPr>
          <w:rFonts w:ascii="Book Antiqua" w:hAnsi="Book Antiqua" w:cs="Arial"/>
          <w:sz w:val="24"/>
          <w:szCs w:val="24"/>
        </w:rPr>
        <w:t>USD 4480 will be paid to the service provider. The payment will be released only on the completion of deliverable and invoicing by the service provider.</w:t>
      </w:r>
    </w:p>
    <w:p w:rsidR="006F6836" w:rsidRPr="0056435F" w:rsidRDefault="006F6836" w:rsidP="0056435F">
      <w:pPr>
        <w:jc w:val="both"/>
        <w:rPr>
          <w:rFonts w:ascii="Book Antiqua" w:hAnsi="Book Antiqua" w:cs="Arial"/>
          <w:b/>
          <w:sz w:val="24"/>
          <w:szCs w:val="24"/>
        </w:rPr>
      </w:pPr>
    </w:p>
    <w:p w:rsidR="0056435F" w:rsidRPr="0056435F" w:rsidRDefault="0056435F" w:rsidP="0056435F">
      <w:pPr>
        <w:jc w:val="both"/>
        <w:rPr>
          <w:rFonts w:ascii="Book Antiqua" w:hAnsi="Book Antiqua" w:cs="Arial"/>
          <w:b/>
          <w:sz w:val="24"/>
          <w:szCs w:val="24"/>
        </w:rPr>
      </w:pPr>
      <w:r w:rsidRPr="0056435F">
        <w:rPr>
          <w:rFonts w:ascii="Book Antiqua" w:hAnsi="Book Antiqua" w:cs="Arial"/>
          <w:b/>
          <w:sz w:val="24"/>
          <w:szCs w:val="24"/>
        </w:rPr>
        <w:t>Term</w:t>
      </w:r>
    </w:p>
    <w:p w:rsidR="0056435F" w:rsidRPr="0056435F" w:rsidRDefault="0056435F" w:rsidP="0056435F">
      <w:pPr>
        <w:jc w:val="both"/>
        <w:rPr>
          <w:rFonts w:ascii="Book Antiqua" w:hAnsi="Book Antiqua" w:cs="Arial"/>
          <w:sz w:val="24"/>
          <w:szCs w:val="24"/>
        </w:rPr>
      </w:pPr>
      <w:r w:rsidRPr="0056435F">
        <w:rPr>
          <w:rFonts w:ascii="Book Antiqua" w:hAnsi="Book Antiqua" w:cs="Arial"/>
          <w:sz w:val="24"/>
          <w:szCs w:val="24"/>
        </w:rPr>
        <w:t xml:space="preserve">This engagement shall commence upon execution of this Agreement. The Agreement shall continue in full force and is effect from </w:t>
      </w:r>
      <w:r>
        <w:rPr>
          <w:rFonts w:ascii="Book Antiqua" w:hAnsi="Book Antiqua" w:cs="Arial"/>
          <w:b/>
          <w:sz w:val="24"/>
          <w:szCs w:val="24"/>
        </w:rPr>
        <w:t>November 15</w:t>
      </w:r>
      <w:r w:rsidRPr="0056435F">
        <w:rPr>
          <w:rFonts w:ascii="Book Antiqua" w:hAnsi="Book Antiqua" w:cs="Arial"/>
          <w:b/>
          <w:sz w:val="24"/>
          <w:szCs w:val="24"/>
        </w:rPr>
        <w:t xml:space="preserve">, 2021 to </w:t>
      </w:r>
      <w:r>
        <w:rPr>
          <w:rFonts w:ascii="Book Antiqua" w:hAnsi="Book Antiqua" w:cs="Arial"/>
          <w:b/>
          <w:sz w:val="24"/>
          <w:szCs w:val="24"/>
        </w:rPr>
        <w:t>November 30</w:t>
      </w:r>
      <w:r w:rsidRPr="0056435F">
        <w:rPr>
          <w:rFonts w:ascii="Book Antiqua" w:hAnsi="Book Antiqua" w:cs="Arial"/>
          <w:b/>
          <w:sz w:val="24"/>
          <w:szCs w:val="24"/>
        </w:rPr>
        <w:t>, 2021</w:t>
      </w:r>
      <w:r w:rsidRPr="0056435F">
        <w:rPr>
          <w:rFonts w:ascii="Book Antiqua" w:hAnsi="Book Antiqua" w:cs="Arial"/>
          <w:sz w:val="24"/>
          <w:szCs w:val="24"/>
        </w:rPr>
        <w:t>.</w:t>
      </w:r>
    </w:p>
    <w:p w:rsidR="0056435F" w:rsidRPr="0056435F" w:rsidRDefault="0056435F" w:rsidP="0056435F">
      <w:pPr>
        <w:rPr>
          <w:rFonts w:ascii="Book Antiqua" w:hAnsi="Book Antiqua"/>
          <w:sz w:val="24"/>
          <w:szCs w:val="24"/>
        </w:rPr>
      </w:pPr>
    </w:p>
    <w:p w:rsidR="0056435F" w:rsidRPr="0056435F" w:rsidRDefault="0056435F" w:rsidP="0056435F">
      <w:pPr>
        <w:rPr>
          <w:rFonts w:ascii="Book Antiqua" w:hAnsi="Book Antiqua"/>
          <w:sz w:val="24"/>
          <w:szCs w:val="24"/>
        </w:rPr>
      </w:pPr>
    </w:p>
    <w:p w:rsidR="0056435F" w:rsidRPr="0056435F" w:rsidRDefault="0056435F" w:rsidP="0056435F">
      <w:pPr>
        <w:rPr>
          <w:rFonts w:ascii="Book Antiqua" w:hAnsi="Book Antiqua" w:cs="Arial"/>
          <w:b/>
          <w:sz w:val="24"/>
          <w:szCs w:val="24"/>
          <w:shd w:val="clear" w:color="auto" w:fill="FFFFFF"/>
        </w:rPr>
      </w:pPr>
    </w:p>
    <w:sectPr w:rsidR="0056435F" w:rsidRPr="005643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compat>
    <w:useFELayout/>
  </w:compat>
  <w:rsids>
    <w:rsidRoot w:val="009135E2"/>
    <w:rsid w:val="0056435F"/>
    <w:rsid w:val="006F6836"/>
    <w:rsid w:val="00913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5E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8524246">
      <w:bodyDiv w:val="1"/>
      <w:marLeft w:val="0"/>
      <w:marRight w:val="0"/>
      <w:marTop w:val="0"/>
      <w:marBottom w:val="0"/>
      <w:divBdr>
        <w:top w:val="none" w:sz="0" w:space="0" w:color="auto"/>
        <w:left w:val="none" w:sz="0" w:space="0" w:color="auto"/>
        <w:bottom w:val="none" w:sz="0" w:space="0" w:color="auto"/>
        <w:right w:val="none" w:sz="0" w:space="0" w:color="auto"/>
      </w:divBdr>
    </w:div>
    <w:div w:id="50436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2021-11-11T12:29:00Z</dcterms:created>
  <dcterms:modified xsi:type="dcterms:W3CDTF">2021-11-11T12:56:00Z</dcterms:modified>
</cp:coreProperties>
</file>