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B96" w:rsidRPr="004D7431" w:rsidRDefault="00BB1B96" w:rsidP="00BB1B96">
      <w:pPr>
        <w:spacing w:after="0"/>
        <w:rPr>
          <w:rFonts w:ascii="Arial" w:hAnsi="Arial" w:cs="Arial"/>
          <w:b/>
        </w:rPr>
      </w:pPr>
    </w:p>
    <w:p w:rsidR="00BB1B96" w:rsidRPr="00512803" w:rsidRDefault="00BB1B96" w:rsidP="00BB1B96">
      <w:pPr>
        <w:rPr>
          <w:rFonts w:ascii="Arial" w:hAnsi="Arial" w:cs="Arial"/>
          <w:b/>
        </w:rPr>
      </w:pPr>
      <w:r w:rsidRPr="00512803">
        <w:rPr>
          <w:rFonts w:ascii="Arial" w:hAnsi="Arial" w:cs="Arial"/>
          <w:b/>
          <w:bCs/>
        </w:rPr>
        <w:t>Study to Understand the State level Claims Management System under PM-JAY</w:t>
      </w:r>
    </w:p>
    <w:p w:rsidR="00BB1B96" w:rsidRPr="00512803" w:rsidRDefault="00932743" w:rsidP="00BB1B96">
      <w:pPr>
        <w:rPr>
          <w:rFonts w:ascii="Arial" w:hAnsi="Arial" w:cs="Arial"/>
        </w:rPr>
      </w:pPr>
      <w:r>
        <w:rPr>
          <w:rFonts w:ascii="Arial" w:hAnsi="Arial" w:cs="Arial"/>
          <w:b/>
          <w:bCs/>
        </w:rPr>
        <w:t xml:space="preserve">Context: </w:t>
      </w:r>
      <w:r w:rsidR="00BB1B96" w:rsidRPr="00512803">
        <w:rPr>
          <w:rFonts w:ascii="Arial" w:eastAsia="Times New Roman" w:hAnsi="Arial" w:cs="Arial"/>
        </w:rPr>
        <w:t xml:space="preserve">ACCESS Health International implements a program to support </w:t>
      </w:r>
      <w:r w:rsidR="00BB1B96" w:rsidRPr="00512803">
        <w:rPr>
          <w:rFonts w:ascii="Arial" w:hAnsi="Arial" w:cs="Arial"/>
        </w:rPr>
        <w:t xml:space="preserve">state of Uttar Pradesh and Kerala in implementation of PM-JAY.PM-JAY provides </w:t>
      </w:r>
      <w:proofErr w:type="gramStart"/>
      <w:r w:rsidR="00BB1B96" w:rsidRPr="00512803">
        <w:rPr>
          <w:rFonts w:ascii="Arial" w:hAnsi="Arial" w:cs="Arial"/>
        </w:rPr>
        <w:t>a fully subsidized comprehensive secondary and tertiary healthcare packages</w:t>
      </w:r>
      <w:proofErr w:type="gramEnd"/>
      <w:r w:rsidR="00BB1B96" w:rsidRPr="00512803">
        <w:rPr>
          <w:rFonts w:ascii="Arial" w:hAnsi="Arial" w:cs="Arial"/>
        </w:rPr>
        <w:t xml:space="preserve"> with an annual coverage of Rs. 5 </w:t>
      </w:r>
      <w:proofErr w:type="spellStart"/>
      <w:r w:rsidR="00BB1B96" w:rsidRPr="00512803">
        <w:rPr>
          <w:rFonts w:ascii="Arial" w:hAnsi="Arial" w:cs="Arial"/>
        </w:rPr>
        <w:t>lakhs</w:t>
      </w:r>
      <w:proofErr w:type="spellEnd"/>
      <w:r w:rsidR="00BB1B96" w:rsidRPr="00512803">
        <w:rPr>
          <w:rFonts w:ascii="Arial" w:hAnsi="Arial" w:cs="Arial"/>
        </w:rPr>
        <w:t xml:space="preserve"> per family on a floater basis. Over 10 </w:t>
      </w:r>
      <w:proofErr w:type="spellStart"/>
      <w:r w:rsidR="00BB1B96" w:rsidRPr="00512803">
        <w:rPr>
          <w:rFonts w:ascii="Arial" w:hAnsi="Arial" w:cs="Arial"/>
        </w:rPr>
        <w:t>crore</w:t>
      </w:r>
      <w:proofErr w:type="spellEnd"/>
      <w:r w:rsidR="00BB1B96" w:rsidRPr="00512803">
        <w:rPr>
          <w:rFonts w:ascii="Arial" w:hAnsi="Arial" w:cs="Arial"/>
        </w:rPr>
        <w:t xml:space="preserve"> families, or 49 </w:t>
      </w:r>
      <w:proofErr w:type="spellStart"/>
      <w:r w:rsidR="00BB1B96" w:rsidRPr="00512803">
        <w:rPr>
          <w:rFonts w:ascii="Arial" w:hAnsi="Arial" w:cs="Arial"/>
        </w:rPr>
        <w:t>crore</w:t>
      </w:r>
      <w:proofErr w:type="spellEnd"/>
      <w:r w:rsidR="00BB1B96" w:rsidRPr="00512803">
        <w:rPr>
          <w:rFonts w:ascii="Arial" w:hAnsi="Arial" w:cs="Arial"/>
        </w:rPr>
        <w:t xml:space="preserve"> individuals – identified as deprived in the Socio-Economic Caste Census (SECC) 2011 – are covered. The scheme is operational in 33 States and UTs and has a national portability feature which allows beneficiaries to avail benefits anywhere in India.</w:t>
      </w:r>
    </w:p>
    <w:p w:rsidR="00BB1B96" w:rsidRPr="00512803" w:rsidRDefault="00BB1B96" w:rsidP="00BB1B96">
      <w:pPr>
        <w:rPr>
          <w:rFonts w:ascii="Arial" w:hAnsi="Arial" w:cs="Arial"/>
        </w:rPr>
      </w:pPr>
      <w:r w:rsidRPr="00512803">
        <w:rPr>
          <w:rFonts w:ascii="Arial" w:hAnsi="Arial" w:cs="Arial"/>
        </w:rPr>
        <w:t>Transaction Management System has been developed that allows for capturing of in-patient data on admission, treatment, and discharge, and onwards to hospital claims and financial settlement. It has gone through 2 version of development. Several states have integrated their state health insurance schemes with PM-JAY and leveraging the national infrastructure for implementation. This is integrated through Application Program Interface (APIs).</w:t>
      </w:r>
    </w:p>
    <w:p w:rsidR="00BB1B96" w:rsidRPr="00512803" w:rsidRDefault="00BB1B96" w:rsidP="00BB1B96">
      <w:pPr>
        <w:rPr>
          <w:rFonts w:ascii="Arial" w:hAnsi="Arial" w:cs="Arial"/>
        </w:rPr>
      </w:pPr>
    </w:p>
    <w:p w:rsidR="00BB1B96" w:rsidRPr="00512803" w:rsidRDefault="00BB1B96" w:rsidP="00BB1B96">
      <w:pPr>
        <w:rPr>
          <w:rFonts w:ascii="Arial" w:hAnsi="Arial" w:cs="Arial"/>
        </w:rPr>
      </w:pPr>
      <w:r w:rsidRPr="00512803">
        <w:rPr>
          <w:rFonts w:ascii="Arial" w:hAnsi="Arial" w:cs="Arial"/>
        </w:rPr>
        <w:t>Claims Management System in states which, implement the scheme in assurance mode, comprises of in-house team of Medical Auditors for technical and medical audits supported by the Third-Party Administrators (TPAs) and specialized agencies. The states use TMS set up by NHA and have adapted the claims adjudication guidelines per the context. Effective claims management is one of the most critical functions for the State Health Agencies – besides processing and payment it can also help in developing strategies to reduce cost.</w:t>
      </w:r>
    </w:p>
    <w:p w:rsidR="00BB1B96" w:rsidRPr="00512803" w:rsidRDefault="00BB1B96" w:rsidP="00BB1B96">
      <w:pPr>
        <w:rPr>
          <w:rFonts w:ascii="Arial" w:hAnsi="Arial" w:cs="Arial"/>
        </w:rPr>
      </w:pPr>
      <w:r w:rsidRPr="00512803">
        <w:rPr>
          <w:rFonts w:ascii="Arial" w:hAnsi="Arial" w:cs="Arial"/>
        </w:rPr>
        <w:t>ACCESS Health is undertaking a study towards strengthening Claims Management Systems and Processes. A two-state study to understand the state systems, operational barriers, and opportunities and solutions for improving efficiencies will be conducted. The three areas of study are</w:t>
      </w:r>
    </w:p>
    <w:p w:rsidR="00BB1B96" w:rsidRPr="00512803" w:rsidRDefault="00BB1B96" w:rsidP="00BB1B96">
      <w:pPr>
        <w:numPr>
          <w:ilvl w:val="0"/>
          <w:numId w:val="10"/>
        </w:numPr>
        <w:spacing w:after="0"/>
        <w:rPr>
          <w:rFonts w:ascii="Arial" w:hAnsi="Arial" w:cs="Arial"/>
        </w:rPr>
      </w:pPr>
      <w:r w:rsidRPr="00512803">
        <w:rPr>
          <w:rFonts w:ascii="Arial" w:hAnsi="Arial" w:cs="Arial"/>
        </w:rPr>
        <w:t xml:space="preserve">Study the existing state claims adjudication process to understand the gap and inefficiencies. </w:t>
      </w:r>
    </w:p>
    <w:p w:rsidR="00BB1B96" w:rsidRPr="00512803" w:rsidRDefault="00BB1B96" w:rsidP="00BB1B96">
      <w:pPr>
        <w:numPr>
          <w:ilvl w:val="0"/>
          <w:numId w:val="10"/>
        </w:numPr>
        <w:spacing w:after="0"/>
        <w:rPr>
          <w:rFonts w:ascii="Arial" w:hAnsi="Arial" w:cs="Arial"/>
        </w:rPr>
      </w:pPr>
      <w:r w:rsidRPr="00512803">
        <w:rPr>
          <w:rFonts w:ascii="Arial" w:hAnsi="Arial" w:cs="Arial"/>
        </w:rPr>
        <w:t xml:space="preserve">Study the existing state claim adjudication process against the national guidelines to understand compliance or adaptation per state needs. </w:t>
      </w:r>
    </w:p>
    <w:p w:rsidR="00BB1B96" w:rsidRPr="00512803" w:rsidRDefault="00BB1B96" w:rsidP="00BB1B96">
      <w:pPr>
        <w:numPr>
          <w:ilvl w:val="0"/>
          <w:numId w:val="10"/>
        </w:numPr>
        <w:spacing w:after="0"/>
        <w:rPr>
          <w:rFonts w:ascii="Arial" w:hAnsi="Arial" w:cs="Arial"/>
        </w:rPr>
      </w:pPr>
      <w:r w:rsidRPr="00512803">
        <w:rPr>
          <w:rFonts w:ascii="Arial" w:hAnsi="Arial" w:cs="Arial"/>
        </w:rPr>
        <w:t>Study the operational and system (TMS) related barriers across the claim processing workflow (preauthorization, claim submission, claims adjudication to payment) to identify the operational bottlenecks across the process.</w:t>
      </w:r>
    </w:p>
    <w:p w:rsidR="00BB1B96" w:rsidRPr="00512803" w:rsidRDefault="00BB1B96" w:rsidP="00BB1B96">
      <w:pPr>
        <w:numPr>
          <w:ilvl w:val="0"/>
          <w:numId w:val="10"/>
        </w:numPr>
        <w:spacing w:after="0"/>
        <w:rPr>
          <w:rFonts w:ascii="Arial" w:hAnsi="Arial" w:cs="Arial"/>
        </w:rPr>
      </w:pPr>
      <w:r w:rsidRPr="00512803">
        <w:rPr>
          <w:rFonts w:ascii="Arial" w:hAnsi="Arial" w:cs="Arial"/>
        </w:rPr>
        <w:t xml:space="preserve">Study national and international examples of introducing digital solutions in claims management to improve efficiency.  </w:t>
      </w:r>
    </w:p>
    <w:p w:rsidR="00331C73" w:rsidRPr="00512803" w:rsidRDefault="00331C73" w:rsidP="005134D5">
      <w:pPr>
        <w:spacing w:after="0"/>
        <w:rPr>
          <w:rFonts w:ascii="Arial" w:hAnsi="Arial" w:cs="Arial"/>
          <w:b/>
        </w:rPr>
      </w:pPr>
    </w:p>
    <w:p w:rsidR="00BB1B96" w:rsidRPr="00512803" w:rsidRDefault="008D4B9E" w:rsidP="00BB1B96">
      <w:pPr>
        <w:spacing w:after="0"/>
        <w:rPr>
          <w:rFonts w:ascii="Arial" w:hAnsi="Arial" w:cs="Arial"/>
          <w:b/>
        </w:rPr>
      </w:pPr>
      <w:r w:rsidRPr="00512803">
        <w:rPr>
          <w:rFonts w:ascii="Arial" w:hAnsi="Arial" w:cs="Arial"/>
          <w:b/>
        </w:rPr>
        <w:t>Scope of Work</w:t>
      </w:r>
    </w:p>
    <w:p w:rsidR="00BB1B96" w:rsidRPr="00512803" w:rsidRDefault="00BB1B96" w:rsidP="00BB1B96">
      <w:pPr>
        <w:spacing w:after="0"/>
        <w:rPr>
          <w:rFonts w:ascii="Arial" w:hAnsi="Arial" w:cs="Arial"/>
          <w:b/>
        </w:rPr>
      </w:pPr>
    </w:p>
    <w:p w:rsidR="00BB1B96" w:rsidRPr="00512803" w:rsidRDefault="00BB1B96" w:rsidP="00BB1B96">
      <w:pPr>
        <w:pStyle w:val="ListParagraph"/>
        <w:numPr>
          <w:ilvl w:val="0"/>
          <w:numId w:val="11"/>
        </w:numPr>
        <w:spacing w:after="0" w:line="276" w:lineRule="auto"/>
        <w:rPr>
          <w:rFonts w:ascii="Arial" w:hAnsi="Arial" w:cs="Arial"/>
        </w:rPr>
      </w:pPr>
      <w:r w:rsidRPr="00512803">
        <w:rPr>
          <w:rFonts w:ascii="Arial" w:hAnsi="Arial" w:cs="Arial"/>
        </w:rPr>
        <w:t>Development of the study design areas of enquiry and tools for qualitative assessment.</w:t>
      </w:r>
    </w:p>
    <w:p w:rsidR="00BB1B96" w:rsidRPr="00512803" w:rsidRDefault="00BB1B96" w:rsidP="00BB1B96">
      <w:pPr>
        <w:pStyle w:val="ListParagraph"/>
        <w:numPr>
          <w:ilvl w:val="0"/>
          <w:numId w:val="11"/>
        </w:numPr>
        <w:spacing w:after="0" w:line="276" w:lineRule="auto"/>
        <w:rPr>
          <w:rFonts w:ascii="Arial" w:hAnsi="Arial" w:cs="Arial"/>
        </w:rPr>
      </w:pPr>
      <w:r w:rsidRPr="00512803">
        <w:rPr>
          <w:rFonts w:ascii="Arial" w:hAnsi="Arial" w:cs="Arial"/>
        </w:rPr>
        <w:t xml:space="preserve">Provide framework for organizing the study findings. </w:t>
      </w:r>
    </w:p>
    <w:p w:rsidR="00BB1B96" w:rsidRPr="00512803" w:rsidRDefault="00BB1B96" w:rsidP="00BB1B96">
      <w:pPr>
        <w:pStyle w:val="ListParagraph"/>
        <w:numPr>
          <w:ilvl w:val="0"/>
          <w:numId w:val="11"/>
        </w:numPr>
        <w:spacing w:after="0" w:line="276" w:lineRule="auto"/>
        <w:rPr>
          <w:rFonts w:ascii="Arial" w:hAnsi="Arial" w:cs="Arial"/>
        </w:rPr>
      </w:pPr>
      <w:r w:rsidRPr="00512803">
        <w:rPr>
          <w:rFonts w:ascii="Arial" w:hAnsi="Arial" w:cs="Arial"/>
        </w:rPr>
        <w:lastRenderedPageBreak/>
        <w:t>Desk review of the global good practices – processes and tools for electronic claims management systems</w:t>
      </w:r>
    </w:p>
    <w:p w:rsidR="00BB1B96" w:rsidRPr="00512803" w:rsidRDefault="00BB1B96" w:rsidP="00BB1B96">
      <w:pPr>
        <w:pStyle w:val="ListParagraph"/>
        <w:numPr>
          <w:ilvl w:val="0"/>
          <w:numId w:val="11"/>
        </w:numPr>
        <w:spacing w:after="0" w:line="276" w:lineRule="auto"/>
        <w:rPr>
          <w:rFonts w:ascii="Arial" w:hAnsi="Arial" w:cs="Arial"/>
        </w:rPr>
      </w:pPr>
      <w:r w:rsidRPr="00512803">
        <w:rPr>
          <w:rFonts w:ascii="Arial" w:hAnsi="Arial" w:cs="Arial"/>
        </w:rPr>
        <w:t xml:space="preserve">Write the final report based on the drafts shared by the staff. </w:t>
      </w:r>
    </w:p>
    <w:p w:rsidR="00BB1B96" w:rsidRPr="00512803" w:rsidRDefault="00BB1B96" w:rsidP="00BB1B96">
      <w:pPr>
        <w:rPr>
          <w:rFonts w:ascii="Arial" w:hAnsi="Arial" w:cs="Arial"/>
        </w:rPr>
      </w:pPr>
    </w:p>
    <w:p w:rsidR="00BB1B96" w:rsidRPr="00512803" w:rsidRDefault="00BB1B96" w:rsidP="00BB1B96">
      <w:pPr>
        <w:rPr>
          <w:rFonts w:ascii="Arial" w:hAnsi="Arial" w:cs="Arial"/>
          <w:b/>
          <w:bCs/>
        </w:rPr>
      </w:pPr>
      <w:r w:rsidRPr="00512803">
        <w:rPr>
          <w:rFonts w:ascii="Arial" w:hAnsi="Arial" w:cs="Arial"/>
          <w:b/>
          <w:bCs/>
        </w:rPr>
        <w:t>Deliverables</w:t>
      </w:r>
    </w:p>
    <w:p w:rsidR="00BB1B96" w:rsidRPr="00512803" w:rsidRDefault="00BB1B96" w:rsidP="00BB1B96">
      <w:pPr>
        <w:pStyle w:val="ListParagraph"/>
        <w:numPr>
          <w:ilvl w:val="0"/>
          <w:numId w:val="12"/>
        </w:numPr>
        <w:spacing w:after="0" w:line="276" w:lineRule="auto"/>
        <w:rPr>
          <w:rFonts w:ascii="Arial" w:hAnsi="Arial" w:cs="Arial"/>
          <w:u w:val="single"/>
        </w:rPr>
      </w:pPr>
      <w:r w:rsidRPr="00512803">
        <w:rPr>
          <w:rFonts w:ascii="Arial" w:hAnsi="Arial" w:cs="Arial"/>
        </w:rPr>
        <w:t xml:space="preserve">Study design – areas of enquiry, tools, and structure to collect information. </w:t>
      </w:r>
    </w:p>
    <w:p w:rsidR="00BB1B96" w:rsidRPr="00932743" w:rsidRDefault="00BB1B96" w:rsidP="0079541B">
      <w:pPr>
        <w:pStyle w:val="ListParagraph"/>
        <w:numPr>
          <w:ilvl w:val="0"/>
          <w:numId w:val="12"/>
        </w:numPr>
        <w:spacing w:after="0" w:line="276" w:lineRule="auto"/>
        <w:rPr>
          <w:rFonts w:ascii="Arial" w:hAnsi="Arial" w:cs="Arial"/>
          <w:u w:val="single"/>
        </w:rPr>
      </w:pPr>
      <w:r w:rsidRPr="00512803">
        <w:rPr>
          <w:rFonts w:ascii="Arial" w:hAnsi="Arial" w:cs="Arial"/>
        </w:rPr>
        <w:t xml:space="preserve">Final Report </w:t>
      </w:r>
    </w:p>
    <w:p w:rsidR="00932743" w:rsidRPr="00932743" w:rsidRDefault="00932743" w:rsidP="00932743">
      <w:pPr>
        <w:pStyle w:val="ListParagraph"/>
        <w:spacing w:after="0" w:line="276" w:lineRule="auto"/>
        <w:ind w:left="360"/>
        <w:rPr>
          <w:rFonts w:ascii="Arial" w:hAnsi="Arial" w:cs="Arial"/>
          <w:u w:val="single"/>
        </w:rPr>
      </w:pPr>
    </w:p>
    <w:p w:rsidR="0079541B" w:rsidRPr="00512803" w:rsidRDefault="0079541B" w:rsidP="0079541B">
      <w:pPr>
        <w:rPr>
          <w:rFonts w:ascii="Arial" w:hAnsi="Arial" w:cs="Arial"/>
          <w:b/>
        </w:rPr>
      </w:pPr>
      <w:r w:rsidRPr="00512803">
        <w:rPr>
          <w:rFonts w:ascii="Arial" w:hAnsi="Arial" w:cs="Arial"/>
          <w:b/>
        </w:rPr>
        <w:t>Compensation</w:t>
      </w:r>
    </w:p>
    <w:p w:rsidR="0079541B" w:rsidRPr="00512803" w:rsidRDefault="008623ED" w:rsidP="004A3B14">
      <w:pPr>
        <w:autoSpaceDE w:val="0"/>
        <w:autoSpaceDN w:val="0"/>
        <w:adjustRightInd w:val="0"/>
        <w:spacing w:after="0" w:line="240" w:lineRule="auto"/>
        <w:jc w:val="both"/>
        <w:rPr>
          <w:rFonts w:ascii="Arial" w:hAnsi="Arial" w:cs="Arial"/>
          <w:color w:val="000000"/>
        </w:rPr>
      </w:pPr>
      <w:r w:rsidRPr="00512803">
        <w:rPr>
          <w:rFonts w:ascii="Arial" w:hAnsi="Arial" w:cs="Arial"/>
          <w:color w:val="000000"/>
        </w:rPr>
        <w:t xml:space="preserve">A </w:t>
      </w:r>
      <w:r w:rsidR="002F315A" w:rsidRPr="00512803">
        <w:rPr>
          <w:rFonts w:ascii="Arial" w:hAnsi="Arial" w:cs="Arial"/>
          <w:color w:val="000000"/>
        </w:rPr>
        <w:t xml:space="preserve">consulting </w:t>
      </w:r>
      <w:r w:rsidRPr="00512803">
        <w:rPr>
          <w:rFonts w:ascii="Arial" w:hAnsi="Arial" w:cs="Arial"/>
          <w:color w:val="000000"/>
        </w:rPr>
        <w:t xml:space="preserve">fee of </w:t>
      </w:r>
      <w:r w:rsidR="00BB1B96" w:rsidRPr="00512803">
        <w:rPr>
          <w:rFonts w:ascii="Arial" w:hAnsi="Arial" w:cs="Arial"/>
          <w:color w:val="000000"/>
        </w:rPr>
        <w:t>USD 1000</w:t>
      </w:r>
      <w:r w:rsidRPr="00512803">
        <w:rPr>
          <w:rFonts w:ascii="Arial" w:hAnsi="Arial" w:cs="Arial"/>
          <w:color w:val="222222"/>
        </w:rPr>
        <w:t xml:space="preserve"> </w:t>
      </w:r>
      <w:r w:rsidRPr="00512803">
        <w:rPr>
          <w:rFonts w:ascii="Arial" w:hAnsi="Arial" w:cs="Arial"/>
          <w:color w:val="000000"/>
        </w:rPr>
        <w:t>per day</w:t>
      </w:r>
      <w:r w:rsidR="004A3B14" w:rsidRPr="00512803">
        <w:rPr>
          <w:rFonts w:ascii="Arial" w:hAnsi="Arial" w:cs="Arial"/>
          <w:color w:val="000000"/>
        </w:rPr>
        <w:t xml:space="preserve"> inclusive of taxes</w:t>
      </w:r>
      <w:r w:rsidRPr="00512803">
        <w:rPr>
          <w:rFonts w:ascii="Arial" w:hAnsi="Arial" w:cs="Arial"/>
          <w:color w:val="000000"/>
        </w:rPr>
        <w:t xml:space="preserve"> for total </w:t>
      </w:r>
      <w:r w:rsidR="004D7431" w:rsidRPr="00512803">
        <w:rPr>
          <w:rFonts w:ascii="Arial" w:hAnsi="Arial" w:cs="Arial"/>
          <w:color w:val="000000"/>
        </w:rPr>
        <w:t>3</w:t>
      </w:r>
      <w:r w:rsidR="00BB1B96" w:rsidRPr="00512803">
        <w:rPr>
          <w:rFonts w:ascii="Arial" w:hAnsi="Arial" w:cs="Arial"/>
          <w:color w:val="000000"/>
        </w:rPr>
        <w:t>0</w:t>
      </w:r>
      <w:r w:rsidR="00A2081C" w:rsidRPr="00512803">
        <w:rPr>
          <w:rFonts w:ascii="Arial" w:hAnsi="Arial" w:cs="Arial"/>
          <w:color w:val="000000"/>
        </w:rPr>
        <w:t xml:space="preserve"> working days will be paid to the consultant</w:t>
      </w:r>
      <w:r w:rsidR="004D7431" w:rsidRPr="00512803">
        <w:rPr>
          <w:rFonts w:ascii="Arial" w:hAnsi="Arial" w:cs="Arial"/>
          <w:color w:val="000000"/>
        </w:rPr>
        <w:t>.</w:t>
      </w:r>
      <w:r w:rsidR="00BB1B96" w:rsidRPr="00512803">
        <w:rPr>
          <w:rFonts w:ascii="Arial" w:hAnsi="Arial" w:cs="Arial"/>
          <w:color w:val="000000"/>
        </w:rPr>
        <w:t xml:space="preserve"> </w:t>
      </w:r>
      <w:r w:rsidR="002F315A" w:rsidRPr="00512803">
        <w:rPr>
          <w:rFonts w:ascii="Arial" w:hAnsi="Arial" w:cs="Arial"/>
          <w:color w:val="000000"/>
        </w:rPr>
        <w:t>The payment will be released only o</w:t>
      </w:r>
      <w:r w:rsidR="00BB1B96" w:rsidRPr="00512803">
        <w:rPr>
          <w:rFonts w:ascii="Arial" w:hAnsi="Arial" w:cs="Arial"/>
          <w:color w:val="000000"/>
        </w:rPr>
        <w:t xml:space="preserve">n the completion </w:t>
      </w:r>
      <w:r w:rsidR="002F315A" w:rsidRPr="00512803">
        <w:rPr>
          <w:rFonts w:ascii="Arial" w:hAnsi="Arial" w:cs="Arial"/>
          <w:color w:val="000000"/>
        </w:rPr>
        <w:t>of deliverable and by providing the invoice.</w:t>
      </w:r>
    </w:p>
    <w:p w:rsidR="00A2081C" w:rsidRPr="00512803" w:rsidRDefault="00A2081C" w:rsidP="00A2081C">
      <w:pPr>
        <w:autoSpaceDE w:val="0"/>
        <w:autoSpaceDN w:val="0"/>
        <w:adjustRightInd w:val="0"/>
        <w:spacing w:after="0" w:line="240" w:lineRule="auto"/>
        <w:rPr>
          <w:rFonts w:ascii="Arial" w:hAnsi="Arial" w:cs="Arial"/>
          <w:color w:val="000000"/>
        </w:rPr>
      </w:pPr>
    </w:p>
    <w:p w:rsidR="00A2081C" w:rsidRPr="00512803" w:rsidRDefault="00A2081C" w:rsidP="00A2081C">
      <w:pPr>
        <w:autoSpaceDE w:val="0"/>
        <w:autoSpaceDN w:val="0"/>
        <w:adjustRightInd w:val="0"/>
        <w:spacing w:after="0" w:line="240" w:lineRule="auto"/>
        <w:rPr>
          <w:rFonts w:ascii="Arial" w:hAnsi="Arial" w:cs="Arial"/>
          <w:color w:val="000000"/>
        </w:rPr>
      </w:pPr>
    </w:p>
    <w:p w:rsidR="0079541B" w:rsidRPr="00512803" w:rsidRDefault="0079541B" w:rsidP="00EB1A02">
      <w:pPr>
        <w:tabs>
          <w:tab w:val="left" w:pos="3780"/>
        </w:tabs>
        <w:jc w:val="both"/>
        <w:rPr>
          <w:rFonts w:ascii="Arial" w:hAnsi="Arial" w:cs="Arial"/>
        </w:rPr>
      </w:pPr>
      <w:r w:rsidRPr="00512803">
        <w:rPr>
          <w:rFonts w:ascii="Arial" w:hAnsi="Arial" w:cs="Arial"/>
          <w:b/>
        </w:rPr>
        <w:t>Term</w:t>
      </w:r>
      <w:r w:rsidR="00EB1A02" w:rsidRPr="00512803">
        <w:rPr>
          <w:rFonts w:ascii="Arial" w:hAnsi="Arial" w:cs="Arial"/>
          <w:b/>
        </w:rPr>
        <w:tab/>
      </w:r>
    </w:p>
    <w:p w:rsidR="0079541B" w:rsidRPr="00512803" w:rsidRDefault="0079541B" w:rsidP="0079541B">
      <w:pPr>
        <w:jc w:val="both"/>
        <w:rPr>
          <w:rFonts w:ascii="Arial" w:hAnsi="Arial" w:cs="Arial"/>
        </w:rPr>
      </w:pPr>
      <w:r w:rsidRPr="00512803">
        <w:rPr>
          <w:rFonts w:ascii="Arial" w:hAnsi="Arial" w:cs="Arial"/>
        </w:rPr>
        <w:t xml:space="preserve">This engagement shall commence upon execution of this Agreement. The Agreement shall continue in full force and is effect from </w:t>
      </w:r>
      <w:r w:rsidR="00BB1B96" w:rsidRPr="00512803">
        <w:rPr>
          <w:rFonts w:ascii="Arial" w:hAnsi="Arial" w:cs="Arial"/>
          <w:b/>
        </w:rPr>
        <w:t>March 20</w:t>
      </w:r>
      <w:r w:rsidRPr="00512803">
        <w:rPr>
          <w:rFonts w:ascii="Arial" w:hAnsi="Arial" w:cs="Arial"/>
          <w:b/>
        </w:rPr>
        <w:t>, 202</w:t>
      </w:r>
      <w:r w:rsidR="00BB1B96" w:rsidRPr="00512803">
        <w:rPr>
          <w:rFonts w:ascii="Arial" w:hAnsi="Arial" w:cs="Arial"/>
          <w:b/>
        </w:rPr>
        <w:t>2</w:t>
      </w:r>
      <w:r w:rsidRPr="00512803">
        <w:rPr>
          <w:rFonts w:ascii="Arial" w:hAnsi="Arial" w:cs="Arial"/>
        </w:rPr>
        <w:t xml:space="preserve"> to </w:t>
      </w:r>
      <w:r w:rsidR="00BB1B96" w:rsidRPr="00512803">
        <w:rPr>
          <w:rFonts w:ascii="Arial" w:hAnsi="Arial" w:cs="Arial"/>
          <w:b/>
        </w:rPr>
        <w:t>August</w:t>
      </w:r>
      <w:r w:rsidR="004D7431" w:rsidRPr="00512803">
        <w:rPr>
          <w:rFonts w:ascii="Arial" w:hAnsi="Arial" w:cs="Arial"/>
          <w:b/>
        </w:rPr>
        <w:t xml:space="preserve"> 3</w:t>
      </w:r>
      <w:r w:rsidR="00BB1B96" w:rsidRPr="00512803">
        <w:rPr>
          <w:rFonts w:ascii="Arial" w:hAnsi="Arial" w:cs="Arial"/>
          <w:b/>
        </w:rPr>
        <w:t>1</w:t>
      </w:r>
      <w:r w:rsidRPr="00512803">
        <w:rPr>
          <w:rFonts w:ascii="Arial" w:hAnsi="Arial" w:cs="Arial"/>
          <w:b/>
        </w:rPr>
        <w:t>, 202</w:t>
      </w:r>
      <w:r w:rsidR="008D4B9E" w:rsidRPr="00512803">
        <w:rPr>
          <w:rFonts w:ascii="Arial" w:hAnsi="Arial" w:cs="Arial"/>
          <w:b/>
        </w:rPr>
        <w:t>2</w:t>
      </w:r>
      <w:r w:rsidR="00276FF5" w:rsidRPr="00512803">
        <w:rPr>
          <w:rFonts w:ascii="Arial" w:hAnsi="Arial" w:cs="Arial"/>
          <w:b/>
        </w:rPr>
        <w:t>.</w:t>
      </w:r>
    </w:p>
    <w:p w:rsidR="0079541B" w:rsidRPr="00512803" w:rsidRDefault="0079541B">
      <w:pPr>
        <w:rPr>
          <w:rFonts w:ascii="Arial" w:hAnsi="Arial" w:cs="Arial"/>
        </w:rPr>
      </w:pPr>
    </w:p>
    <w:p w:rsidR="00512803" w:rsidRPr="00512803" w:rsidRDefault="00512803">
      <w:pPr>
        <w:rPr>
          <w:rFonts w:ascii="Arial" w:hAnsi="Arial" w:cs="Arial"/>
        </w:rPr>
      </w:pPr>
    </w:p>
    <w:sectPr w:rsidR="00512803" w:rsidRPr="00512803"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C8B2C85"/>
    <w:multiLevelType w:val="hybridMultilevel"/>
    <w:tmpl w:val="8124D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448CC"/>
    <w:multiLevelType w:val="hybridMultilevel"/>
    <w:tmpl w:val="FEF0FC18"/>
    <w:lvl w:ilvl="0" w:tplc="BD04CEE4">
      <w:start w:val="1"/>
      <w:numFmt w:val="decimal"/>
      <w:lvlText w:val="%1."/>
      <w:lvlJc w:val="left"/>
      <w:pPr>
        <w:tabs>
          <w:tab w:val="num" w:pos="720"/>
        </w:tabs>
        <w:ind w:left="720" w:hanging="360"/>
      </w:pPr>
    </w:lvl>
    <w:lvl w:ilvl="1" w:tplc="8E1065F6" w:tentative="1">
      <w:start w:val="1"/>
      <w:numFmt w:val="decimal"/>
      <w:lvlText w:val="%2."/>
      <w:lvlJc w:val="left"/>
      <w:pPr>
        <w:tabs>
          <w:tab w:val="num" w:pos="1440"/>
        </w:tabs>
        <w:ind w:left="1440" w:hanging="360"/>
      </w:pPr>
    </w:lvl>
    <w:lvl w:ilvl="2" w:tplc="1458F5A4" w:tentative="1">
      <w:start w:val="1"/>
      <w:numFmt w:val="decimal"/>
      <w:lvlText w:val="%3."/>
      <w:lvlJc w:val="left"/>
      <w:pPr>
        <w:tabs>
          <w:tab w:val="num" w:pos="2160"/>
        </w:tabs>
        <w:ind w:left="2160" w:hanging="360"/>
      </w:pPr>
    </w:lvl>
    <w:lvl w:ilvl="3" w:tplc="4DFE6DE0" w:tentative="1">
      <w:start w:val="1"/>
      <w:numFmt w:val="decimal"/>
      <w:lvlText w:val="%4."/>
      <w:lvlJc w:val="left"/>
      <w:pPr>
        <w:tabs>
          <w:tab w:val="num" w:pos="2880"/>
        </w:tabs>
        <w:ind w:left="2880" w:hanging="360"/>
      </w:pPr>
    </w:lvl>
    <w:lvl w:ilvl="4" w:tplc="B9B2896E" w:tentative="1">
      <w:start w:val="1"/>
      <w:numFmt w:val="decimal"/>
      <w:lvlText w:val="%5."/>
      <w:lvlJc w:val="left"/>
      <w:pPr>
        <w:tabs>
          <w:tab w:val="num" w:pos="3600"/>
        </w:tabs>
        <w:ind w:left="3600" w:hanging="360"/>
      </w:pPr>
    </w:lvl>
    <w:lvl w:ilvl="5" w:tplc="B588C7DE" w:tentative="1">
      <w:start w:val="1"/>
      <w:numFmt w:val="decimal"/>
      <w:lvlText w:val="%6."/>
      <w:lvlJc w:val="left"/>
      <w:pPr>
        <w:tabs>
          <w:tab w:val="num" w:pos="4320"/>
        </w:tabs>
        <w:ind w:left="4320" w:hanging="360"/>
      </w:pPr>
    </w:lvl>
    <w:lvl w:ilvl="6" w:tplc="33022236" w:tentative="1">
      <w:start w:val="1"/>
      <w:numFmt w:val="decimal"/>
      <w:lvlText w:val="%7."/>
      <w:lvlJc w:val="left"/>
      <w:pPr>
        <w:tabs>
          <w:tab w:val="num" w:pos="5040"/>
        </w:tabs>
        <w:ind w:left="5040" w:hanging="360"/>
      </w:pPr>
    </w:lvl>
    <w:lvl w:ilvl="7" w:tplc="B2D4E110" w:tentative="1">
      <w:start w:val="1"/>
      <w:numFmt w:val="decimal"/>
      <w:lvlText w:val="%8."/>
      <w:lvlJc w:val="left"/>
      <w:pPr>
        <w:tabs>
          <w:tab w:val="num" w:pos="5760"/>
        </w:tabs>
        <w:ind w:left="5760" w:hanging="360"/>
      </w:pPr>
    </w:lvl>
    <w:lvl w:ilvl="8" w:tplc="E1003F02" w:tentative="1">
      <w:start w:val="1"/>
      <w:numFmt w:val="decimal"/>
      <w:lvlText w:val="%9."/>
      <w:lvlJc w:val="left"/>
      <w:pPr>
        <w:tabs>
          <w:tab w:val="num" w:pos="6480"/>
        </w:tabs>
        <w:ind w:left="6480" w:hanging="360"/>
      </w:pPr>
    </w:lvl>
  </w:abstractNum>
  <w:abstractNum w:abstractNumId="3">
    <w:nsid w:val="394D74E8"/>
    <w:multiLevelType w:val="hybridMultilevel"/>
    <w:tmpl w:val="550E80B4"/>
    <w:lvl w:ilvl="0" w:tplc="0D8C2D6C">
      <w:start w:val="1"/>
      <w:numFmt w:val="decimal"/>
      <w:lvlText w:val="%1."/>
      <w:lvlJc w:val="left"/>
      <w:pPr>
        <w:ind w:left="36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E15BF9"/>
    <w:multiLevelType w:val="hybridMultilevel"/>
    <w:tmpl w:val="1E12FCA0"/>
    <w:lvl w:ilvl="0" w:tplc="DF4056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3536FD"/>
    <w:multiLevelType w:val="hybridMultilevel"/>
    <w:tmpl w:val="568CA3B8"/>
    <w:lvl w:ilvl="0" w:tplc="567A0112">
      <w:start w:val="1"/>
      <w:numFmt w:val="decimal"/>
      <w:lvlText w:val="%1."/>
      <w:lvlJc w:val="left"/>
      <w:pPr>
        <w:ind w:left="360" w:hanging="360"/>
      </w:pPr>
      <w:rPr>
        <w:rFonts w:hint="default"/>
        <w:b/>
      </w:rPr>
    </w:lvl>
    <w:lvl w:ilvl="1" w:tplc="40090005">
      <w:start w:val="1"/>
      <w:numFmt w:val="bullet"/>
      <w:lvlText w:val=""/>
      <w:lvlJc w:val="left"/>
      <w:pPr>
        <w:ind w:left="1080" w:hanging="360"/>
      </w:pPr>
      <w:rPr>
        <w:rFonts w:ascii="Wingdings" w:hAnsi="Wingding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67D64530"/>
    <w:multiLevelType w:val="hybridMultilevel"/>
    <w:tmpl w:val="2B3C06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683C1C94"/>
    <w:multiLevelType w:val="hybridMultilevel"/>
    <w:tmpl w:val="3FB807C2"/>
    <w:lvl w:ilvl="0" w:tplc="40090019">
      <w:start w:val="1"/>
      <w:numFmt w:val="lowerLetter"/>
      <w:lvlText w:val="%1."/>
      <w:lvlJc w:val="left"/>
      <w:pPr>
        <w:ind w:left="1130" w:hanging="360"/>
      </w:pPr>
      <w:rPr>
        <w:rFonts w:hint="default"/>
      </w:rPr>
    </w:lvl>
    <w:lvl w:ilvl="1" w:tplc="40090019">
      <w:start w:val="1"/>
      <w:numFmt w:val="lowerLetter"/>
      <w:lvlText w:val="%2."/>
      <w:lvlJc w:val="left"/>
      <w:pPr>
        <w:ind w:left="1850" w:hanging="360"/>
      </w:pPr>
      <w:rPr>
        <w:rFonts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nsid w:val="6B30643F"/>
    <w:multiLevelType w:val="hybridMultilevel"/>
    <w:tmpl w:val="15C806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2185B81"/>
    <w:multiLevelType w:val="hybridMultilevel"/>
    <w:tmpl w:val="929848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8E152C"/>
    <w:multiLevelType w:val="hybridMultilevel"/>
    <w:tmpl w:val="A000BBEA"/>
    <w:lvl w:ilvl="0" w:tplc="0D8C2D6C">
      <w:start w:val="1"/>
      <w:numFmt w:val="decimal"/>
      <w:lvlText w:val="%1."/>
      <w:lvlJc w:val="left"/>
      <w:pPr>
        <w:ind w:left="360" w:hanging="360"/>
      </w:pPr>
      <w:rPr>
        <w:rFonts w:hint="default"/>
        <w:sz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5"/>
  </w:num>
  <w:num w:numId="3">
    <w:abstractNumId w:val="9"/>
  </w:num>
  <w:num w:numId="4">
    <w:abstractNumId w:val="6"/>
  </w:num>
  <w:num w:numId="5">
    <w:abstractNumId w:val="10"/>
  </w:num>
  <w:num w:numId="6">
    <w:abstractNumId w:val="11"/>
  </w:num>
  <w:num w:numId="7">
    <w:abstractNumId w:val="1"/>
  </w:num>
  <w:num w:numId="8">
    <w:abstractNumId w:val="8"/>
  </w:num>
  <w:num w:numId="9">
    <w:abstractNumId w:val="3"/>
  </w:num>
  <w:num w:numId="10">
    <w:abstractNumId w:val="2"/>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1A0755"/>
    <w:rsid w:val="00276FF5"/>
    <w:rsid w:val="002F315A"/>
    <w:rsid w:val="00317F7D"/>
    <w:rsid w:val="00331C73"/>
    <w:rsid w:val="00343B8B"/>
    <w:rsid w:val="003A72E1"/>
    <w:rsid w:val="003D1EB0"/>
    <w:rsid w:val="004429A1"/>
    <w:rsid w:val="004922A0"/>
    <w:rsid w:val="004A3B14"/>
    <w:rsid w:val="004D7431"/>
    <w:rsid w:val="00512803"/>
    <w:rsid w:val="005134D5"/>
    <w:rsid w:val="0079541B"/>
    <w:rsid w:val="00852AD2"/>
    <w:rsid w:val="008623ED"/>
    <w:rsid w:val="008D4B9E"/>
    <w:rsid w:val="00932743"/>
    <w:rsid w:val="00A2081C"/>
    <w:rsid w:val="00BB1B96"/>
    <w:rsid w:val="00BE46DB"/>
    <w:rsid w:val="00C0229D"/>
    <w:rsid w:val="00E15EB4"/>
    <w:rsid w:val="00EB1A02"/>
    <w:rsid w:val="00EE1B5F"/>
    <w:rsid w:val="00EE6D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 w:type="paragraph" w:styleId="NormalWeb">
    <w:name w:val="Normal (Web)"/>
    <w:basedOn w:val="Normal"/>
    <w:unhideWhenUsed/>
    <w:rsid w:val="008623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D74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19</cp:revision>
  <dcterms:created xsi:type="dcterms:W3CDTF">2021-07-15T07:46:00Z</dcterms:created>
  <dcterms:modified xsi:type="dcterms:W3CDTF">2022-03-24T11:14:00Z</dcterms:modified>
</cp:coreProperties>
</file>