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EEF" w:rsidRPr="004F6B51" w:rsidRDefault="00797EEF" w:rsidP="00797EEF">
      <w:pPr>
        <w:rPr>
          <w:rFonts w:asciiTheme="majorHAnsi" w:hAnsiTheme="majorHAnsi"/>
          <w:b/>
          <w:sz w:val="23"/>
          <w:szCs w:val="23"/>
        </w:rPr>
      </w:pPr>
      <w:r w:rsidRPr="004F6B51">
        <w:rPr>
          <w:rFonts w:asciiTheme="majorHAnsi" w:hAnsiTheme="majorHAnsi" w:cs="Calibri"/>
          <w:b/>
          <w:color w:val="000000"/>
          <w:sz w:val="24"/>
          <w:szCs w:val="24"/>
        </w:rPr>
        <w:t>Scope of work</w:t>
      </w:r>
    </w:p>
    <w:p w:rsidR="00797EEF" w:rsidRPr="00AC5C56" w:rsidRDefault="00797EEF" w:rsidP="00797EEF">
      <w:pPr>
        <w:autoSpaceDE w:val="0"/>
        <w:autoSpaceDN w:val="0"/>
        <w:adjustRightInd w:val="0"/>
        <w:spacing w:after="0" w:line="240" w:lineRule="auto"/>
        <w:rPr>
          <w:rFonts w:asciiTheme="majorHAnsi" w:hAnsiTheme="majorHAnsi" w:cs="Arial"/>
          <w:color w:val="000000"/>
        </w:rPr>
      </w:pPr>
      <w:r w:rsidRPr="00AC5C56">
        <w:rPr>
          <w:rFonts w:asciiTheme="majorHAnsi" w:hAnsiTheme="majorHAnsi" w:cs="Arial"/>
          <w:color w:val="000000"/>
        </w:rPr>
        <w:t>The Service Provide</w:t>
      </w:r>
      <w:r w:rsidR="00C34C05">
        <w:rPr>
          <w:rFonts w:asciiTheme="majorHAnsi" w:hAnsiTheme="majorHAnsi" w:cs="Arial"/>
          <w:color w:val="000000"/>
        </w:rPr>
        <w:t>r (</w:t>
      </w:r>
      <w:proofErr w:type="spellStart"/>
      <w:r w:rsidR="00C34C05">
        <w:rPr>
          <w:rFonts w:asciiTheme="majorHAnsi" w:hAnsiTheme="majorHAnsi" w:cs="Arial"/>
          <w:color w:val="000000"/>
        </w:rPr>
        <w:t>Aristo</w:t>
      </w:r>
      <w:proofErr w:type="spellEnd"/>
      <w:r w:rsidR="00C34C05">
        <w:rPr>
          <w:rFonts w:asciiTheme="majorHAnsi" w:hAnsiTheme="majorHAnsi" w:cs="Arial"/>
          <w:color w:val="000000"/>
        </w:rPr>
        <w:t xml:space="preserve"> Consultants)</w:t>
      </w:r>
      <w:r w:rsidRPr="00AC5C56">
        <w:rPr>
          <w:rFonts w:asciiTheme="majorHAnsi" w:hAnsiTheme="majorHAnsi" w:cs="Arial"/>
          <w:color w:val="000000"/>
        </w:rPr>
        <w:t xml:space="preserve"> will provide the following services</w:t>
      </w:r>
    </w:p>
    <w:p w:rsidR="00797EEF" w:rsidRPr="00797EEF" w:rsidRDefault="00797EEF" w:rsidP="00797EEF">
      <w:pPr>
        <w:autoSpaceDE w:val="0"/>
        <w:autoSpaceDN w:val="0"/>
        <w:adjustRightInd w:val="0"/>
        <w:spacing w:after="0" w:line="240" w:lineRule="auto"/>
        <w:rPr>
          <w:rFonts w:asciiTheme="majorHAnsi" w:hAnsiTheme="majorHAnsi" w:cs="Arial"/>
          <w:color w:val="000000"/>
        </w:rPr>
      </w:pPr>
    </w:p>
    <w:p w:rsidR="00797EEF" w:rsidRPr="00797EEF" w:rsidRDefault="00797EEF" w:rsidP="00797EEF">
      <w:pPr>
        <w:autoSpaceDE w:val="0"/>
        <w:autoSpaceDN w:val="0"/>
        <w:adjustRightInd w:val="0"/>
        <w:spacing w:after="207" w:line="240" w:lineRule="auto"/>
        <w:rPr>
          <w:rFonts w:asciiTheme="majorHAnsi" w:hAnsiTheme="majorHAnsi" w:cs="Calibri"/>
          <w:color w:val="000000"/>
        </w:rPr>
      </w:pPr>
      <w:r w:rsidRPr="00797EEF">
        <w:rPr>
          <w:rFonts w:asciiTheme="majorHAnsi" w:hAnsiTheme="majorHAnsi" w:cs="Arial"/>
          <w:color w:val="000000"/>
        </w:rPr>
        <w:t xml:space="preserve">• </w:t>
      </w:r>
      <w:r w:rsidRPr="00797EEF">
        <w:rPr>
          <w:rFonts w:asciiTheme="majorHAnsi" w:hAnsiTheme="majorHAnsi" w:cs="Calibri"/>
          <w:color w:val="000000"/>
        </w:rPr>
        <w:t xml:space="preserve">Searching and headhunting - explore prospective candidates from our rich database, other sources, and/or by headhunting to match the skills and qualifications required by the specific job description. </w:t>
      </w:r>
    </w:p>
    <w:p w:rsidR="00797EEF" w:rsidRPr="00797EEF" w:rsidRDefault="00797EEF" w:rsidP="00797EEF">
      <w:pPr>
        <w:autoSpaceDE w:val="0"/>
        <w:autoSpaceDN w:val="0"/>
        <w:adjustRightInd w:val="0"/>
        <w:spacing w:after="207" w:line="240" w:lineRule="auto"/>
        <w:rPr>
          <w:rFonts w:asciiTheme="majorHAnsi" w:hAnsiTheme="majorHAnsi" w:cs="Calibri"/>
          <w:color w:val="000000"/>
        </w:rPr>
      </w:pPr>
      <w:r w:rsidRPr="00797EEF">
        <w:rPr>
          <w:rFonts w:asciiTheme="majorHAnsi" w:hAnsiTheme="majorHAnsi" w:cs="Arial"/>
          <w:color w:val="000000"/>
        </w:rPr>
        <w:t xml:space="preserve">• </w:t>
      </w:r>
      <w:r w:rsidRPr="00797EEF">
        <w:rPr>
          <w:rFonts w:asciiTheme="majorHAnsi" w:hAnsiTheme="majorHAnsi" w:cs="Calibri"/>
          <w:color w:val="000000"/>
        </w:rPr>
        <w:t xml:space="preserve">Identifying - analyze profiles identified or received through applications or other sources and identify the ones who match the position profile. </w:t>
      </w:r>
    </w:p>
    <w:p w:rsidR="00797EEF" w:rsidRPr="00797EEF" w:rsidRDefault="00797EEF" w:rsidP="00797EEF">
      <w:pPr>
        <w:autoSpaceDE w:val="0"/>
        <w:autoSpaceDN w:val="0"/>
        <w:adjustRightInd w:val="0"/>
        <w:spacing w:after="207" w:line="240" w:lineRule="auto"/>
        <w:rPr>
          <w:rFonts w:asciiTheme="majorHAnsi" w:hAnsiTheme="majorHAnsi" w:cs="Calibri"/>
          <w:color w:val="000000"/>
        </w:rPr>
      </w:pPr>
      <w:r w:rsidRPr="00797EEF">
        <w:rPr>
          <w:rFonts w:asciiTheme="majorHAnsi" w:hAnsiTheme="majorHAnsi" w:cs="Arial"/>
          <w:color w:val="000000"/>
        </w:rPr>
        <w:t xml:space="preserve">• </w:t>
      </w:r>
      <w:proofErr w:type="spellStart"/>
      <w:r w:rsidRPr="00797EEF">
        <w:rPr>
          <w:rFonts w:asciiTheme="majorHAnsi" w:hAnsiTheme="majorHAnsi" w:cs="Calibri"/>
          <w:color w:val="000000"/>
        </w:rPr>
        <w:t>Shortlisting</w:t>
      </w:r>
      <w:proofErr w:type="spellEnd"/>
      <w:r w:rsidRPr="00797EEF">
        <w:rPr>
          <w:rFonts w:asciiTheme="majorHAnsi" w:hAnsiTheme="majorHAnsi" w:cs="Calibri"/>
          <w:color w:val="000000"/>
        </w:rPr>
        <w:t xml:space="preserve"> - share a shortlist of a maximum of five or as requested, of the most qualified prospective candidates for interviews and selection. If any of the shortlisted candidates do not meet the hiring manager’s expectations, Access Health may ask for additional candidates to be added to the shortlist. </w:t>
      </w:r>
    </w:p>
    <w:p w:rsidR="00797EEF" w:rsidRPr="00797EEF" w:rsidRDefault="00797EEF" w:rsidP="00797EEF">
      <w:pPr>
        <w:autoSpaceDE w:val="0"/>
        <w:autoSpaceDN w:val="0"/>
        <w:adjustRightInd w:val="0"/>
        <w:spacing w:after="0" w:line="240" w:lineRule="auto"/>
        <w:rPr>
          <w:rFonts w:asciiTheme="majorHAnsi" w:hAnsiTheme="majorHAnsi" w:cs="Calibri"/>
          <w:color w:val="000000"/>
        </w:rPr>
      </w:pPr>
      <w:r w:rsidRPr="00797EEF">
        <w:rPr>
          <w:rFonts w:asciiTheme="majorHAnsi" w:hAnsiTheme="majorHAnsi" w:cs="Arial"/>
          <w:color w:val="000000"/>
        </w:rPr>
        <w:t xml:space="preserve">• </w:t>
      </w:r>
      <w:r w:rsidRPr="00797EEF">
        <w:rPr>
          <w:rFonts w:asciiTheme="majorHAnsi" w:hAnsiTheme="majorHAnsi" w:cs="Calibri"/>
          <w:color w:val="000000"/>
        </w:rPr>
        <w:t xml:space="preserve">Ensuring a steady flow of </w:t>
      </w:r>
      <w:proofErr w:type="spellStart"/>
      <w:r w:rsidRPr="00797EEF">
        <w:rPr>
          <w:rFonts w:asciiTheme="majorHAnsi" w:hAnsiTheme="majorHAnsi" w:cs="Calibri"/>
          <w:color w:val="000000"/>
        </w:rPr>
        <w:t>shorlists</w:t>
      </w:r>
      <w:proofErr w:type="spellEnd"/>
      <w:r w:rsidRPr="00797EEF">
        <w:rPr>
          <w:rFonts w:asciiTheme="majorHAnsi" w:hAnsiTheme="majorHAnsi" w:cs="Calibri"/>
          <w:color w:val="000000"/>
        </w:rPr>
        <w:t xml:space="preserve"> as per hiring manager’s requirements. </w:t>
      </w:r>
    </w:p>
    <w:p w:rsidR="00797EEF" w:rsidRPr="00AC5C56" w:rsidRDefault="00797EEF" w:rsidP="00797EEF">
      <w:pPr>
        <w:rPr>
          <w:rFonts w:asciiTheme="majorHAnsi" w:hAnsiTheme="majorHAnsi"/>
        </w:rPr>
      </w:pPr>
    </w:p>
    <w:p w:rsidR="00D22DAE" w:rsidRPr="00AC5C56" w:rsidRDefault="00D22DAE" w:rsidP="00D22DAE">
      <w:pPr>
        <w:autoSpaceDE w:val="0"/>
        <w:autoSpaceDN w:val="0"/>
        <w:adjustRightInd w:val="0"/>
        <w:spacing w:after="0" w:line="240" w:lineRule="auto"/>
        <w:rPr>
          <w:rFonts w:asciiTheme="majorHAnsi" w:hAnsiTheme="majorHAnsi" w:cs="BookAntiqua,Bold"/>
          <w:b/>
          <w:bCs/>
        </w:rPr>
      </w:pPr>
      <w:r w:rsidRPr="00AC5C56">
        <w:rPr>
          <w:rFonts w:asciiTheme="majorHAnsi" w:hAnsiTheme="majorHAnsi" w:cs="BookAntiqua,Bold"/>
          <w:b/>
          <w:bCs/>
        </w:rPr>
        <w:t>Service Fee</w:t>
      </w:r>
    </w:p>
    <w:p w:rsidR="00D22DAE" w:rsidRPr="00AC5C56" w:rsidRDefault="00D22DAE" w:rsidP="00D22DAE">
      <w:pPr>
        <w:autoSpaceDE w:val="0"/>
        <w:autoSpaceDN w:val="0"/>
        <w:adjustRightInd w:val="0"/>
        <w:spacing w:after="0" w:line="240" w:lineRule="auto"/>
        <w:rPr>
          <w:rFonts w:asciiTheme="majorHAnsi" w:hAnsiTheme="majorHAnsi" w:cs="BookAntiqua,Bold"/>
          <w:b/>
          <w:bCs/>
        </w:rPr>
      </w:pPr>
    </w:p>
    <w:p w:rsidR="00D22DAE" w:rsidRPr="00AC5C56" w:rsidRDefault="00D22DAE" w:rsidP="00D22DAE">
      <w:pPr>
        <w:pStyle w:val="Default"/>
        <w:rPr>
          <w:rFonts w:asciiTheme="majorHAnsi" w:hAnsiTheme="majorHAnsi" w:cs="BookAntiqua"/>
          <w:sz w:val="22"/>
          <w:szCs w:val="22"/>
        </w:rPr>
      </w:pPr>
      <w:r w:rsidRPr="00AC5C56">
        <w:rPr>
          <w:rFonts w:asciiTheme="majorHAnsi" w:hAnsiTheme="majorHAnsi" w:cs="BookAntiqua"/>
          <w:sz w:val="22"/>
          <w:szCs w:val="22"/>
        </w:rPr>
        <w:t xml:space="preserve">A service fee </w:t>
      </w:r>
      <w:r w:rsidR="00AE779A">
        <w:rPr>
          <w:rFonts w:asciiTheme="majorHAnsi" w:hAnsiTheme="majorHAnsi" w:cs="BookAntiqua"/>
          <w:sz w:val="22"/>
          <w:szCs w:val="22"/>
        </w:rPr>
        <w:t>will be paid</w:t>
      </w:r>
      <w:r w:rsidR="00C34C05">
        <w:rPr>
          <w:rFonts w:asciiTheme="majorHAnsi" w:hAnsiTheme="majorHAnsi" w:cs="BookAntiqua"/>
          <w:sz w:val="22"/>
          <w:szCs w:val="22"/>
        </w:rPr>
        <w:t xml:space="preserve"> to the Service Provider</w:t>
      </w:r>
      <w:r w:rsidR="00AE779A">
        <w:rPr>
          <w:rFonts w:asciiTheme="majorHAnsi" w:hAnsiTheme="majorHAnsi" w:cs="BookAntiqua"/>
          <w:sz w:val="22"/>
          <w:szCs w:val="22"/>
        </w:rPr>
        <w:t xml:space="preserve"> </w:t>
      </w:r>
      <w:r w:rsidRPr="00AC5C56">
        <w:rPr>
          <w:rFonts w:asciiTheme="majorHAnsi" w:hAnsiTheme="majorHAnsi" w:cs="BookAntiqua"/>
          <w:sz w:val="22"/>
          <w:szCs w:val="22"/>
        </w:rPr>
        <w:t xml:space="preserve">based on the following commercials. </w:t>
      </w:r>
    </w:p>
    <w:p w:rsidR="00D22DAE" w:rsidRDefault="00D22DAE" w:rsidP="00D22DAE">
      <w:pPr>
        <w:pStyle w:val="Default"/>
        <w:rPr>
          <w:rFonts w:ascii="BookAntiqua" w:hAnsi="BookAntiqua" w:cs="BookAntiqua"/>
        </w:rPr>
      </w:pPr>
    </w:p>
    <w:tbl>
      <w:tblPr>
        <w:tblW w:w="9979" w:type="dxa"/>
        <w:tblInd w:w="-5" w:type="dxa"/>
        <w:tblLook w:val="04A0"/>
      </w:tblPr>
      <w:tblGrid>
        <w:gridCol w:w="1176"/>
        <w:gridCol w:w="5099"/>
        <w:gridCol w:w="3704"/>
      </w:tblGrid>
      <w:tr w:rsidR="00D22DAE" w:rsidRPr="00AC5C56" w:rsidTr="007B4A75">
        <w:trPr>
          <w:trHeight w:val="503"/>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center"/>
              <w:rPr>
                <w:rFonts w:asciiTheme="majorHAnsi" w:eastAsia="Times New Roman" w:hAnsiTheme="majorHAnsi" w:cs="Calibri"/>
                <w:b/>
                <w:bCs/>
                <w:color w:val="000000"/>
              </w:rPr>
            </w:pPr>
            <w:r w:rsidRPr="00AC5C56">
              <w:rPr>
                <w:rFonts w:asciiTheme="majorHAnsi" w:eastAsia="Times New Roman" w:hAnsiTheme="majorHAnsi" w:cs="Calibri"/>
                <w:b/>
                <w:bCs/>
                <w:color w:val="000000"/>
              </w:rPr>
              <w:t>S.No</w:t>
            </w:r>
          </w:p>
        </w:tc>
        <w:tc>
          <w:tcPr>
            <w:tcW w:w="5099" w:type="dxa"/>
            <w:tcBorders>
              <w:top w:val="single" w:sz="4" w:space="0" w:color="auto"/>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center"/>
              <w:rPr>
                <w:rFonts w:asciiTheme="majorHAnsi" w:eastAsia="Times New Roman" w:hAnsiTheme="majorHAnsi" w:cs="Calibri"/>
                <w:b/>
                <w:bCs/>
                <w:color w:val="000000"/>
              </w:rPr>
            </w:pPr>
            <w:r w:rsidRPr="00AC5C56">
              <w:rPr>
                <w:rFonts w:asciiTheme="majorHAnsi" w:eastAsia="Times New Roman" w:hAnsiTheme="majorHAnsi" w:cs="Calibri"/>
                <w:b/>
                <w:bCs/>
                <w:color w:val="000000"/>
              </w:rPr>
              <w:t>Total CTC</w:t>
            </w:r>
          </w:p>
        </w:tc>
        <w:tc>
          <w:tcPr>
            <w:tcW w:w="3704" w:type="dxa"/>
            <w:tcBorders>
              <w:top w:val="single" w:sz="4" w:space="0" w:color="auto"/>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center"/>
              <w:rPr>
                <w:rFonts w:asciiTheme="majorHAnsi" w:eastAsia="Times New Roman" w:hAnsiTheme="majorHAnsi" w:cs="Calibri"/>
                <w:b/>
                <w:bCs/>
                <w:color w:val="000000"/>
              </w:rPr>
            </w:pPr>
            <w:r w:rsidRPr="00AC5C56">
              <w:rPr>
                <w:rFonts w:asciiTheme="majorHAnsi" w:eastAsia="Times New Roman" w:hAnsiTheme="majorHAnsi" w:cs="Calibri"/>
                <w:b/>
                <w:bCs/>
                <w:color w:val="000000"/>
              </w:rPr>
              <w:t>Fees (% of Total CTC)</w:t>
            </w:r>
          </w:p>
        </w:tc>
      </w:tr>
      <w:tr w:rsidR="00D22DAE" w:rsidRPr="00AC5C56" w:rsidTr="007B4A75">
        <w:trPr>
          <w:trHeight w:val="503"/>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1</w:t>
            </w:r>
          </w:p>
        </w:tc>
        <w:tc>
          <w:tcPr>
            <w:tcW w:w="5099"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rPr>
                <w:rFonts w:asciiTheme="majorHAnsi" w:eastAsia="Times New Roman" w:hAnsiTheme="majorHAnsi" w:cs="Calibri"/>
                <w:color w:val="000000"/>
              </w:rPr>
            </w:pPr>
            <w:r w:rsidRPr="00AC5C56">
              <w:rPr>
                <w:rFonts w:asciiTheme="majorHAnsi" w:eastAsia="Times New Roman" w:hAnsiTheme="majorHAnsi" w:cs="Calibri"/>
                <w:color w:val="000000"/>
              </w:rPr>
              <w:t>Below Rs. 1,000,000</w:t>
            </w:r>
          </w:p>
        </w:tc>
        <w:tc>
          <w:tcPr>
            <w:tcW w:w="3704"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8.33%</w:t>
            </w:r>
          </w:p>
        </w:tc>
      </w:tr>
      <w:tr w:rsidR="00D22DAE" w:rsidRPr="00AC5C56" w:rsidTr="007B4A75">
        <w:trPr>
          <w:trHeight w:val="503"/>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2</w:t>
            </w:r>
          </w:p>
        </w:tc>
        <w:tc>
          <w:tcPr>
            <w:tcW w:w="5099"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rPr>
                <w:rFonts w:asciiTheme="majorHAnsi" w:eastAsia="Times New Roman" w:hAnsiTheme="majorHAnsi" w:cs="Calibri"/>
                <w:color w:val="000000"/>
              </w:rPr>
            </w:pPr>
            <w:r w:rsidRPr="00AC5C56">
              <w:rPr>
                <w:rFonts w:asciiTheme="majorHAnsi" w:eastAsia="Times New Roman" w:hAnsiTheme="majorHAnsi" w:cs="Calibri"/>
                <w:color w:val="000000"/>
              </w:rPr>
              <w:t>Rs. 1,000,001 to Rs. 1,500,000</w:t>
            </w:r>
          </w:p>
        </w:tc>
        <w:tc>
          <w:tcPr>
            <w:tcW w:w="3704"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10%</w:t>
            </w:r>
          </w:p>
        </w:tc>
      </w:tr>
      <w:tr w:rsidR="00D22DAE" w:rsidRPr="00AC5C56" w:rsidTr="007B4A75">
        <w:trPr>
          <w:trHeight w:val="503"/>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3</w:t>
            </w:r>
          </w:p>
        </w:tc>
        <w:tc>
          <w:tcPr>
            <w:tcW w:w="5099"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rPr>
                <w:rFonts w:asciiTheme="majorHAnsi" w:eastAsia="Times New Roman" w:hAnsiTheme="majorHAnsi" w:cs="Calibri"/>
                <w:color w:val="000000"/>
              </w:rPr>
            </w:pPr>
            <w:r w:rsidRPr="00AC5C56">
              <w:rPr>
                <w:rFonts w:asciiTheme="majorHAnsi" w:eastAsia="Times New Roman" w:hAnsiTheme="majorHAnsi" w:cs="Calibri"/>
                <w:color w:val="000000"/>
              </w:rPr>
              <w:t>Rs. 1,500,001 to Rs. 2,000,000</w:t>
            </w:r>
          </w:p>
        </w:tc>
        <w:tc>
          <w:tcPr>
            <w:tcW w:w="3704"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12.50%</w:t>
            </w:r>
          </w:p>
        </w:tc>
      </w:tr>
      <w:tr w:rsidR="00D22DAE" w:rsidRPr="00AC5C56" w:rsidTr="007B4A75">
        <w:trPr>
          <w:trHeight w:val="503"/>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4</w:t>
            </w:r>
          </w:p>
        </w:tc>
        <w:tc>
          <w:tcPr>
            <w:tcW w:w="5099"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rPr>
                <w:rFonts w:asciiTheme="majorHAnsi" w:eastAsia="Times New Roman" w:hAnsiTheme="majorHAnsi" w:cs="Calibri"/>
                <w:color w:val="000000"/>
              </w:rPr>
            </w:pPr>
            <w:r w:rsidRPr="00AC5C56">
              <w:rPr>
                <w:rFonts w:asciiTheme="majorHAnsi" w:eastAsia="Times New Roman" w:hAnsiTheme="majorHAnsi" w:cs="Calibri"/>
                <w:color w:val="000000"/>
              </w:rPr>
              <w:t>Rs. 2,000,001 to Rs. 2,500,000</w:t>
            </w:r>
          </w:p>
        </w:tc>
        <w:tc>
          <w:tcPr>
            <w:tcW w:w="3704"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15%</w:t>
            </w:r>
          </w:p>
        </w:tc>
      </w:tr>
      <w:tr w:rsidR="00D22DAE" w:rsidRPr="00AC5C56" w:rsidTr="007B4A75">
        <w:trPr>
          <w:trHeight w:val="503"/>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5</w:t>
            </w:r>
          </w:p>
        </w:tc>
        <w:tc>
          <w:tcPr>
            <w:tcW w:w="5099"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rPr>
                <w:rFonts w:asciiTheme="majorHAnsi" w:eastAsia="Times New Roman" w:hAnsiTheme="majorHAnsi" w:cs="Calibri"/>
                <w:color w:val="000000"/>
              </w:rPr>
            </w:pPr>
            <w:r w:rsidRPr="00AC5C56">
              <w:rPr>
                <w:rFonts w:asciiTheme="majorHAnsi" w:eastAsia="Times New Roman" w:hAnsiTheme="majorHAnsi" w:cs="Calibri"/>
                <w:color w:val="000000"/>
              </w:rPr>
              <w:t>Rs. 2,500,001 to Rs. 3,000,000</w:t>
            </w:r>
          </w:p>
        </w:tc>
        <w:tc>
          <w:tcPr>
            <w:tcW w:w="3704"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17.50%</w:t>
            </w:r>
          </w:p>
        </w:tc>
      </w:tr>
      <w:tr w:rsidR="00D22DAE" w:rsidRPr="00AC5C56" w:rsidTr="007B4A75">
        <w:trPr>
          <w:trHeight w:val="503"/>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6</w:t>
            </w:r>
          </w:p>
        </w:tc>
        <w:tc>
          <w:tcPr>
            <w:tcW w:w="5099"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rPr>
                <w:rFonts w:asciiTheme="majorHAnsi" w:eastAsia="Times New Roman" w:hAnsiTheme="majorHAnsi" w:cs="Calibri"/>
                <w:color w:val="000000"/>
              </w:rPr>
            </w:pPr>
            <w:r w:rsidRPr="00AC5C56">
              <w:rPr>
                <w:rFonts w:asciiTheme="majorHAnsi" w:eastAsia="Times New Roman" w:hAnsiTheme="majorHAnsi" w:cs="Calibri"/>
                <w:color w:val="000000"/>
              </w:rPr>
              <w:t>Above Rs. 3,000,000</w:t>
            </w:r>
          </w:p>
        </w:tc>
        <w:tc>
          <w:tcPr>
            <w:tcW w:w="3704" w:type="dxa"/>
            <w:tcBorders>
              <w:top w:val="nil"/>
              <w:left w:val="nil"/>
              <w:bottom w:val="single" w:sz="4" w:space="0" w:color="auto"/>
              <w:right w:val="single" w:sz="4" w:space="0" w:color="auto"/>
            </w:tcBorders>
            <w:shd w:val="clear" w:color="auto" w:fill="auto"/>
            <w:noWrap/>
            <w:vAlign w:val="bottom"/>
            <w:hideMark/>
          </w:tcPr>
          <w:p w:rsidR="00D22DAE" w:rsidRPr="00AC5C56" w:rsidRDefault="00D22DAE" w:rsidP="007B4A75">
            <w:pPr>
              <w:spacing w:after="0" w:line="240" w:lineRule="auto"/>
              <w:jc w:val="right"/>
              <w:rPr>
                <w:rFonts w:asciiTheme="majorHAnsi" w:eastAsia="Times New Roman" w:hAnsiTheme="majorHAnsi" w:cs="Calibri"/>
                <w:color w:val="000000"/>
              </w:rPr>
            </w:pPr>
            <w:r w:rsidRPr="00AC5C56">
              <w:rPr>
                <w:rFonts w:asciiTheme="majorHAnsi" w:eastAsia="Times New Roman" w:hAnsiTheme="majorHAnsi" w:cs="Calibri"/>
                <w:color w:val="000000"/>
              </w:rPr>
              <w:t>20%</w:t>
            </w:r>
          </w:p>
        </w:tc>
      </w:tr>
    </w:tbl>
    <w:p w:rsidR="00D22DAE" w:rsidRPr="00AB3863" w:rsidRDefault="00D22DAE" w:rsidP="00D22DAE">
      <w:pPr>
        <w:pStyle w:val="Default"/>
        <w:rPr>
          <w:rFonts w:asciiTheme="majorHAnsi" w:hAnsiTheme="majorHAnsi" w:cs="BookAntiqua"/>
          <w:sz w:val="22"/>
          <w:szCs w:val="22"/>
        </w:rPr>
      </w:pPr>
    </w:p>
    <w:p w:rsidR="00AB3863" w:rsidRPr="00AB3863" w:rsidRDefault="00AB3863" w:rsidP="00D22DAE">
      <w:pPr>
        <w:pStyle w:val="Default"/>
        <w:rPr>
          <w:rFonts w:asciiTheme="majorHAnsi" w:hAnsiTheme="majorHAnsi" w:cs="BookAntiqua"/>
          <w:sz w:val="22"/>
          <w:szCs w:val="22"/>
        </w:rPr>
      </w:pPr>
      <w:r>
        <w:rPr>
          <w:rFonts w:asciiTheme="majorHAnsi" w:hAnsiTheme="majorHAnsi" w:cs="BookAntiqua"/>
          <w:sz w:val="22"/>
          <w:szCs w:val="22"/>
        </w:rPr>
        <w:t>*</w:t>
      </w:r>
      <w:r w:rsidRPr="00AB3863">
        <w:rPr>
          <w:rFonts w:asciiTheme="majorHAnsi" w:hAnsiTheme="majorHAnsi" w:cs="BookAntiqua"/>
          <w:sz w:val="22"/>
          <w:szCs w:val="22"/>
        </w:rPr>
        <w:t>GST would be additional</w:t>
      </w:r>
    </w:p>
    <w:p w:rsidR="00D22DAE" w:rsidRDefault="00D22DAE" w:rsidP="00D22DAE">
      <w:pPr>
        <w:pStyle w:val="Default"/>
        <w:rPr>
          <w:rFonts w:ascii="BookAntiqua" w:hAnsi="BookAntiqua" w:cs="BookAntiqua"/>
        </w:rPr>
      </w:pPr>
    </w:p>
    <w:p w:rsidR="00D22DAE" w:rsidRDefault="00D22DAE" w:rsidP="00D22DAE">
      <w:pPr>
        <w:pStyle w:val="Default"/>
        <w:rPr>
          <w:rFonts w:asciiTheme="majorHAnsi" w:hAnsiTheme="majorHAnsi"/>
          <w:sz w:val="23"/>
          <w:szCs w:val="23"/>
        </w:rPr>
      </w:pPr>
      <w:r w:rsidRPr="00AC5C56">
        <w:rPr>
          <w:rFonts w:asciiTheme="majorHAnsi" w:hAnsiTheme="majorHAnsi"/>
          <w:sz w:val="23"/>
          <w:szCs w:val="23"/>
        </w:rPr>
        <w:t xml:space="preserve">The service provider </w:t>
      </w:r>
      <w:r w:rsidR="00AC5C56" w:rsidRPr="00AC5C56">
        <w:rPr>
          <w:rFonts w:asciiTheme="majorHAnsi" w:hAnsiTheme="majorHAnsi"/>
          <w:sz w:val="23"/>
          <w:szCs w:val="23"/>
        </w:rPr>
        <w:t xml:space="preserve">should </w:t>
      </w:r>
      <w:r w:rsidRPr="00AC5C56">
        <w:rPr>
          <w:rFonts w:asciiTheme="majorHAnsi" w:hAnsiTheme="majorHAnsi"/>
          <w:sz w:val="23"/>
          <w:szCs w:val="23"/>
        </w:rPr>
        <w:t>rais</w:t>
      </w:r>
      <w:r w:rsidR="00AC5C56" w:rsidRPr="00AC5C56">
        <w:rPr>
          <w:rFonts w:asciiTheme="majorHAnsi" w:hAnsiTheme="majorHAnsi"/>
          <w:sz w:val="23"/>
          <w:szCs w:val="23"/>
        </w:rPr>
        <w:t>e</w:t>
      </w:r>
      <w:r w:rsidRPr="00AC5C56">
        <w:rPr>
          <w:rFonts w:asciiTheme="majorHAnsi" w:hAnsiTheme="majorHAnsi"/>
          <w:sz w:val="23"/>
          <w:szCs w:val="23"/>
        </w:rPr>
        <w:t xml:space="preserve"> an invoice after completion of 30 days of the candidate joining the services. </w:t>
      </w:r>
    </w:p>
    <w:p w:rsidR="00771C86" w:rsidRDefault="00771C86" w:rsidP="00D22DAE">
      <w:pPr>
        <w:pStyle w:val="Default"/>
        <w:rPr>
          <w:rFonts w:asciiTheme="majorHAnsi" w:hAnsiTheme="majorHAnsi"/>
          <w:sz w:val="23"/>
          <w:szCs w:val="23"/>
        </w:rPr>
      </w:pPr>
    </w:p>
    <w:p w:rsidR="00771C86" w:rsidRPr="00771C86" w:rsidRDefault="00771C86" w:rsidP="00771C86">
      <w:pPr>
        <w:rPr>
          <w:rFonts w:ascii="Cambria" w:hAnsi="Cambria"/>
        </w:rPr>
      </w:pPr>
      <w:r w:rsidRPr="00771C86">
        <w:rPr>
          <w:rFonts w:ascii="Cambria" w:hAnsi="Cambria"/>
        </w:rPr>
        <w:t xml:space="preserve">Replacement/ Refund – If a candidate resigns within 90 days of joining, </w:t>
      </w:r>
      <w:r>
        <w:rPr>
          <w:rFonts w:ascii="Cambria" w:hAnsi="Cambria"/>
        </w:rPr>
        <w:t>Service Provider</w:t>
      </w:r>
      <w:r w:rsidRPr="00771C86">
        <w:rPr>
          <w:rFonts w:ascii="Cambria" w:hAnsi="Cambria"/>
        </w:rPr>
        <w:t xml:space="preserve"> shall, at the option of </w:t>
      </w:r>
      <w:r>
        <w:rPr>
          <w:rFonts w:ascii="Cambria" w:hAnsi="Cambria"/>
        </w:rPr>
        <w:t>Quality Health</w:t>
      </w:r>
      <w:r w:rsidRPr="00771C86">
        <w:rPr>
          <w:rFonts w:ascii="Cambria" w:hAnsi="Cambria"/>
        </w:rPr>
        <w:t>, either continue the search for a replacement or refund the fees paid with respect to that candidate</w:t>
      </w:r>
    </w:p>
    <w:p w:rsidR="00771C86" w:rsidRPr="00AC5C56" w:rsidRDefault="00771C86" w:rsidP="00D22DAE">
      <w:pPr>
        <w:pStyle w:val="Default"/>
        <w:rPr>
          <w:rFonts w:asciiTheme="majorHAnsi" w:hAnsiTheme="majorHAnsi"/>
          <w:sz w:val="23"/>
          <w:szCs w:val="23"/>
        </w:rPr>
      </w:pPr>
    </w:p>
    <w:p w:rsidR="00771C86" w:rsidRDefault="00771C86" w:rsidP="00D22DAE">
      <w:pPr>
        <w:autoSpaceDE w:val="0"/>
        <w:autoSpaceDN w:val="0"/>
        <w:adjustRightInd w:val="0"/>
        <w:spacing w:after="0" w:line="240" w:lineRule="auto"/>
        <w:rPr>
          <w:rFonts w:ascii="BookAntiqua" w:hAnsi="BookAntiqua" w:cs="BookAntiqua"/>
          <w:sz w:val="24"/>
          <w:szCs w:val="24"/>
        </w:rPr>
      </w:pPr>
    </w:p>
    <w:p w:rsidR="00771C86" w:rsidRDefault="00771C86" w:rsidP="00D22DAE">
      <w:pPr>
        <w:autoSpaceDE w:val="0"/>
        <w:autoSpaceDN w:val="0"/>
        <w:adjustRightInd w:val="0"/>
        <w:spacing w:after="0" w:line="240" w:lineRule="auto"/>
        <w:rPr>
          <w:rFonts w:ascii="BookAntiqua" w:hAnsi="BookAntiqua" w:cs="BookAntiqua"/>
          <w:sz w:val="24"/>
          <w:szCs w:val="24"/>
        </w:rPr>
      </w:pPr>
    </w:p>
    <w:p w:rsidR="00771C86" w:rsidRDefault="00771C86" w:rsidP="00D22DAE">
      <w:pPr>
        <w:autoSpaceDE w:val="0"/>
        <w:autoSpaceDN w:val="0"/>
        <w:adjustRightInd w:val="0"/>
        <w:spacing w:after="0" w:line="240" w:lineRule="auto"/>
        <w:rPr>
          <w:rFonts w:ascii="BookAntiqua" w:hAnsi="BookAntiqua" w:cs="BookAntiqua"/>
          <w:sz w:val="24"/>
          <w:szCs w:val="24"/>
        </w:rPr>
      </w:pPr>
    </w:p>
    <w:p w:rsidR="00D22DAE" w:rsidRPr="00771C86" w:rsidRDefault="00D22DAE" w:rsidP="00D22DAE">
      <w:pPr>
        <w:autoSpaceDE w:val="0"/>
        <w:autoSpaceDN w:val="0"/>
        <w:adjustRightInd w:val="0"/>
        <w:spacing w:after="0" w:line="240" w:lineRule="auto"/>
        <w:rPr>
          <w:rFonts w:asciiTheme="majorHAnsi" w:hAnsiTheme="majorHAnsi" w:cs="BookAntiqua,Bold"/>
          <w:b/>
          <w:bCs/>
        </w:rPr>
      </w:pPr>
      <w:r w:rsidRPr="00771C86">
        <w:rPr>
          <w:rFonts w:asciiTheme="majorHAnsi" w:hAnsiTheme="majorHAnsi" w:cs="BookAntiqua,Bold"/>
          <w:b/>
          <w:bCs/>
        </w:rPr>
        <w:t>Term</w:t>
      </w:r>
    </w:p>
    <w:p w:rsidR="00D22DAE" w:rsidRPr="00771C86" w:rsidRDefault="00D22DAE" w:rsidP="00D22DAE">
      <w:pPr>
        <w:autoSpaceDE w:val="0"/>
        <w:autoSpaceDN w:val="0"/>
        <w:adjustRightInd w:val="0"/>
        <w:spacing w:after="0" w:line="240" w:lineRule="auto"/>
        <w:rPr>
          <w:rFonts w:asciiTheme="majorHAnsi" w:hAnsiTheme="majorHAnsi" w:cs="BookAntiqua,Bold"/>
          <w:b/>
          <w:bCs/>
        </w:rPr>
      </w:pPr>
    </w:p>
    <w:p w:rsidR="00D22DAE" w:rsidRPr="00771C86" w:rsidRDefault="00D22DAE" w:rsidP="00D22DAE">
      <w:pPr>
        <w:autoSpaceDE w:val="0"/>
        <w:autoSpaceDN w:val="0"/>
        <w:adjustRightInd w:val="0"/>
        <w:spacing w:after="0" w:line="240" w:lineRule="auto"/>
        <w:rPr>
          <w:rFonts w:asciiTheme="majorHAnsi" w:hAnsiTheme="majorHAnsi" w:cs="BookAntiqua"/>
        </w:rPr>
      </w:pPr>
      <w:r w:rsidRPr="00771C86">
        <w:rPr>
          <w:rFonts w:asciiTheme="majorHAnsi" w:hAnsiTheme="majorHAnsi" w:cs="BookAntiqua"/>
        </w:rPr>
        <w:t>This engagement shall commence upon execution of this Agreement. The Agreement</w:t>
      </w:r>
    </w:p>
    <w:p w:rsidR="00D22DAE" w:rsidRPr="00771C86" w:rsidRDefault="00D22DAE" w:rsidP="00771C86">
      <w:pPr>
        <w:autoSpaceDE w:val="0"/>
        <w:autoSpaceDN w:val="0"/>
        <w:adjustRightInd w:val="0"/>
        <w:spacing w:after="0" w:line="240" w:lineRule="auto"/>
        <w:rPr>
          <w:rFonts w:asciiTheme="majorHAnsi" w:hAnsiTheme="majorHAnsi"/>
        </w:rPr>
      </w:pPr>
      <w:proofErr w:type="gramStart"/>
      <w:r w:rsidRPr="00771C86">
        <w:rPr>
          <w:rFonts w:asciiTheme="majorHAnsi" w:hAnsiTheme="majorHAnsi" w:cs="BookAntiqua"/>
        </w:rPr>
        <w:t>shall</w:t>
      </w:r>
      <w:proofErr w:type="gramEnd"/>
      <w:r w:rsidRPr="00771C86">
        <w:rPr>
          <w:rFonts w:asciiTheme="majorHAnsi" w:hAnsiTheme="majorHAnsi" w:cs="BookAntiqua"/>
        </w:rPr>
        <w:t xml:space="preserve"> continue in full force and is effect from </w:t>
      </w:r>
      <w:r w:rsidR="00771C86">
        <w:rPr>
          <w:rFonts w:asciiTheme="majorHAnsi" w:hAnsiTheme="majorHAnsi" w:cs="BookAntiqua,Bold"/>
          <w:b/>
          <w:bCs/>
        </w:rPr>
        <w:t>May</w:t>
      </w:r>
      <w:r w:rsidRPr="00771C86">
        <w:rPr>
          <w:rFonts w:asciiTheme="majorHAnsi" w:hAnsiTheme="majorHAnsi" w:cs="BookAntiqua,Bold"/>
          <w:b/>
          <w:bCs/>
        </w:rPr>
        <w:t xml:space="preserve"> </w:t>
      </w:r>
      <w:r w:rsidR="00771C86">
        <w:rPr>
          <w:rFonts w:asciiTheme="majorHAnsi" w:hAnsiTheme="majorHAnsi" w:cs="BookAntiqua,Bold"/>
          <w:b/>
          <w:bCs/>
        </w:rPr>
        <w:t>7</w:t>
      </w:r>
      <w:r w:rsidRPr="00771C86">
        <w:rPr>
          <w:rFonts w:asciiTheme="majorHAnsi" w:hAnsiTheme="majorHAnsi" w:cs="BookAntiqua,Bold"/>
          <w:b/>
          <w:bCs/>
        </w:rPr>
        <w:t>, 202</w:t>
      </w:r>
      <w:r w:rsidR="00771C86">
        <w:rPr>
          <w:rFonts w:asciiTheme="majorHAnsi" w:hAnsiTheme="majorHAnsi" w:cs="BookAntiqua,Bold"/>
          <w:b/>
          <w:bCs/>
        </w:rPr>
        <w:t>2.</w:t>
      </w:r>
    </w:p>
    <w:p w:rsidR="00D22DAE" w:rsidRPr="00771C86" w:rsidRDefault="00D22DAE" w:rsidP="00771C86">
      <w:pPr>
        <w:pStyle w:val="Default"/>
        <w:rPr>
          <w:rFonts w:asciiTheme="majorHAnsi" w:hAnsiTheme="majorHAnsi"/>
          <w:sz w:val="22"/>
          <w:szCs w:val="22"/>
        </w:rPr>
      </w:pPr>
      <w:r w:rsidRPr="00771C86">
        <w:rPr>
          <w:rFonts w:asciiTheme="majorHAnsi" w:hAnsiTheme="majorHAnsi"/>
          <w:sz w:val="22"/>
          <w:szCs w:val="22"/>
        </w:rPr>
        <w:t xml:space="preserve"> </w:t>
      </w:r>
    </w:p>
    <w:sectPr w:rsidR="00D22DAE" w:rsidRPr="00771C86" w:rsidSect="000E0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Bold">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97EEF"/>
    <w:rsid w:val="000E0ECE"/>
    <w:rsid w:val="004F6B51"/>
    <w:rsid w:val="00771C86"/>
    <w:rsid w:val="00797EEF"/>
    <w:rsid w:val="00AB3863"/>
    <w:rsid w:val="00AC5C56"/>
    <w:rsid w:val="00AE779A"/>
    <w:rsid w:val="00C34C05"/>
    <w:rsid w:val="00D22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E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2022-06-16T10:59:00Z</dcterms:created>
  <dcterms:modified xsi:type="dcterms:W3CDTF">2022-06-16T11:47:00Z</dcterms:modified>
</cp:coreProperties>
</file>