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29" w:rsidRPr="001F27F9" w:rsidRDefault="00047029" w:rsidP="000E20EA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EF6498" w:rsidRPr="001F27F9" w:rsidRDefault="00EF6498" w:rsidP="00AC4157">
      <w:pPr>
        <w:spacing w:line="276" w:lineRule="auto"/>
        <w:rPr>
          <w:rFonts w:ascii="Cambria" w:hAnsi="Cambria" w:cstheme="minorHAnsi"/>
          <w:sz w:val="22"/>
        </w:rPr>
      </w:pPr>
    </w:p>
    <w:p w:rsidR="00182F2B" w:rsidRPr="00501804" w:rsidRDefault="00DF04E6" w:rsidP="00182F2B">
      <w:pPr>
        <w:spacing w:line="276" w:lineRule="auto"/>
        <w:rPr>
          <w:rFonts w:ascii="Cambria" w:hAnsi="Cambria" w:cstheme="minorHAnsi"/>
          <w:b/>
          <w:bCs/>
        </w:rPr>
      </w:pPr>
      <w:r w:rsidRPr="00501804">
        <w:rPr>
          <w:rFonts w:ascii="Cambria" w:hAnsi="Cambria" w:cstheme="minorHAnsi"/>
          <w:b/>
          <w:bCs/>
        </w:rPr>
        <w:t xml:space="preserve">Title: </w:t>
      </w:r>
      <w:r w:rsidR="00182F2B" w:rsidRPr="00501804">
        <w:rPr>
          <w:rFonts w:ascii="Cambria" w:hAnsi="Cambria" w:cstheme="minorHAnsi"/>
          <w:bCs/>
        </w:rPr>
        <w:t xml:space="preserve">Improving Access to Medicines in Public Health Facilities of </w:t>
      </w:r>
      <w:proofErr w:type="spellStart"/>
      <w:r w:rsidR="00182F2B" w:rsidRPr="00501804">
        <w:rPr>
          <w:rFonts w:ascii="Cambria" w:hAnsi="Cambria" w:cstheme="minorHAnsi"/>
          <w:bCs/>
        </w:rPr>
        <w:t>Odisha</w:t>
      </w:r>
      <w:proofErr w:type="spellEnd"/>
    </w:p>
    <w:p w:rsidR="00EF6498" w:rsidRPr="00501804" w:rsidRDefault="00EF6498" w:rsidP="00AC4157">
      <w:pPr>
        <w:spacing w:line="276" w:lineRule="auto"/>
        <w:rPr>
          <w:rFonts w:ascii="Cambria" w:hAnsi="Cambria" w:cstheme="minorHAnsi"/>
        </w:rPr>
      </w:pPr>
    </w:p>
    <w:p w:rsidR="00FD6ADA" w:rsidRPr="00501804" w:rsidRDefault="00FD6ADA" w:rsidP="000E20EA">
      <w:pPr>
        <w:spacing w:line="276" w:lineRule="auto"/>
        <w:rPr>
          <w:rFonts w:ascii="Cambria" w:hAnsi="Cambria" w:cstheme="minorHAnsi"/>
          <w:b/>
          <w:bCs/>
        </w:rPr>
      </w:pPr>
      <w:r w:rsidRPr="00501804">
        <w:rPr>
          <w:rFonts w:ascii="Cambria" w:hAnsi="Cambria" w:cstheme="minorHAnsi"/>
          <w:b/>
          <w:bCs/>
        </w:rPr>
        <w:t xml:space="preserve">Scope of Work </w:t>
      </w:r>
    </w:p>
    <w:p w:rsidR="00F752DC" w:rsidRPr="00501804" w:rsidRDefault="00F752DC" w:rsidP="000E20EA">
      <w:pPr>
        <w:spacing w:line="276" w:lineRule="auto"/>
        <w:rPr>
          <w:rFonts w:ascii="Cambria" w:hAnsi="Cambria" w:cstheme="minorHAnsi"/>
          <w:b/>
          <w:bCs/>
        </w:rPr>
      </w:pPr>
    </w:p>
    <w:p w:rsidR="00F752DC" w:rsidRPr="00501804" w:rsidRDefault="00F752DC" w:rsidP="00F752DC">
      <w:pPr>
        <w:spacing w:line="276" w:lineRule="auto"/>
        <w:jc w:val="both"/>
        <w:rPr>
          <w:rFonts w:ascii="Cambria" w:hAnsi="Cambria" w:cstheme="minorHAnsi"/>
        </w:rPr>
      </w:pPr>
      <w:r w:rsidRPr="00501804">
        <w:rPr>
          <w:rFonts w:ascii="Cambria" w:hAnsi="Cambria" w:cstheme="minorHAnsi"/>
        </w:rPr>
        <w:t xml:space="preserve">Access to medicines is fundamental to the full realisation of right to health. An assessment of the </w:t>
      </w:r>
      <w:proofErr w:type="spellStart"/>
      <w:r w:rsidRPr="00501804">
        <w:rPr>
          <w:rFonts w:ascii="Cambria" w:hAnsi="Cambria" w:cstheme="minorHAnsi"/>
        </w:rPr>
        <w:t>Odisha</w:t>
      </w:r>
      <w:proofErr w:type="spellEnd"/>
      <w:r w:rsidRPr="00501804">
        <w:rPr>
          <w:rFonts w:ascii="Cambria" w:hAnsi="Cambria" w:cstheme="minorHAnsi"/>
        </w:rPr>
        <w:t xml:space="preserve"> health systems by Harvard School of Public Health and HSTP revealed that more than 70% of out-of-pocket expenditure in </w:t>
      </w:r>
      <w:proofErr w:type="spellStart"/>
      <w:r w:rsidRPr="00501804">
        <w:rPr>
          <w:rFonts w:ascii="Cambria" w:hAnsi="Cambria" w:cstheme="minorHAnsi"/>
        </w:rPr>
        <w:t>Odisha</w:t>
      </w:r>
      <w:proofErr w:type="spellEnd"/>
      <w:r w:rsidRPr="00501804">
        <w:rPr>
          <w:rFonts w:ascii="Cambria" w:hAnsi="Cambria" w:cstheme="minorHAnsi"/>
        </w:rPr>
        <w:t xml:space="preserve"> being incurred on medicines at the public health facilities. The recent NSSO survey also reveals that spending on drugs accounted for 69% of outpatient care and 32% of inpatient care expenses. Despite the availability of the free drug scheme – </w:t>
      </w:r>
      <w:proofErr w:type="spellStart"/>
      <w:r w:rsidRPr="00501804">
        <w:rPr>
          <w:rFonts w:ascii="Cambria" w:hAnsi="Cambria" w:cstheme="minorHAnsi"/>
        </w:rPr>
        <w:t>Niramaya</w:t>
      </w:r>
      <w:proofErr w:type="spellEnd"/>
      <w:r w:rsidRPr="00501804">
        <w:rPr>
          <w:rFonts w:ascii="Cambria" w:hAnsi="Cambria" w:cstheme="minorHAnsi"/>
        </w:rPr>
        <w:t xml:space="preserve"> and the </w:t>
      </w:r>
      <w:proofErr w:type="spellStart"/>
      <w:r w:rsidRPr="00501804">
        <w:rPr>
          <w:rFonts w:ascii="Cambria" w:hAnsi="Cambria" w:cstheme="minorHAnsi"/>
        </w:rPr>
        <w:t>Biju</w:t>
      </w:r>
      <w:proofErr w:type="spellEnd"/>
      <w:r w:rsidRPr="00501804">
        <w:rPr>
          <w:rFonts w:ascii="Cambria" w:hAnsi="Cambria" w:cstheme="minorHAnsi"/>
        </w:rPr>
        <w:t xml:space="preserve"> </w:t>
      </w:r>
      <w:proofErr w:type="spellStart"/>
      <w:r w:rsidRPr="00501804">
        <w:rPr>
          <w:rFonts w:ascii="Cambria" w:hAnsi="Cambria" w:cstheme="minorHAnsi"/>
        </w:rPr>
        <w:t>Swasthya</w:t>
      </w:r>
      <w:proofErr w:type="spellEnd"/>
      <w:r w:rsidRPr="00501804">
        <w:rPr>
          <w:rFonts w:ascii="Cambria" w:hAnsi="Cambria" w:cstheme="minorHAnsi"/>
        </w:rPr>
        <w:t xml:space="preserve"> </w:t>
      </w:r>
      <w:proofErr w:type="spellStart"/>
      <w:r w:rsidRPr="00501804">
        <w:rPr>
          <w:rFonts w:ascii="Cambria" w:hAnsi="Cambria" w:cstheme="minorHAnsi"/>
        </w:rPr>
        <w:t>Kalyan</w:t>
      </w:r>
      <w:proofErr w:type="spellEnd"/>
      <w:r w:rsidRPr="00501804">
        <w:rPr>
          <w:rFonts w:ascii="Cambria" w:hAnsi="Cambria" w:cstheme="minorHAnsi"/>
        </w:rPr>
        <w:t xml:space="preserve"> </w:t>
      </w:r>
      <w:proofErr w:type="spellStart"/>
      <w:r w:rsidRPr="00501804">
        <w:rPr>
          <w:rFonts w:ascii="Cambria" w:hAnsi="Cambria" w:cstheme="minorHAnsi"/>
        </w:rPr>
        <w:t>Yojana</w:t>
      </w:r>
      <w:proofErr w:type="spellEnd"/>
      <w:r w:rsidRPr="00501804">
        <w:rPr>
          <w:rFonts w:ascii="Cambria" w:hAnsi="Cambria" w:cstheme="minorHAnsi"/>
        </w:rPr>
        <w:t xml:space="preserve"> (BSKY) to provide free health care to all citizens in public health facilities, existing evidence reveal that patients incur huge out-of-pocket expenditure on medicines especially at the primary health care facilities in </w:t>
      </w:r>
      <w:proofErr w:type="spellStart"/>
      <w:r w:rsidRPr="00501804">
        <w:rPr>
          <w:rFonts w:ascii="Cambria" w:hAnsi="Cambria" w:cstheme="minorHAnsi"/>
        </w:rPr>
        <w:t>Odisha</w:t>
      </w:r>
      <w:proofErr w:type="spellEnd"/>
      <w:r w:rsidRPr="00501804">
        <w:rPr>
          <w:rFonts w:ascii="Cambria" w:hAnsi="Cambria" w:cstheme="minorHAnsi"/>
        </w:rPr>
        <w:t xml:space="preserve">. Therefore, HSTP had proposed to the Government of </w:t>
      </w:r>
      <w:proofErr w:type="spellStart"/>
      <w:r w:rsidRPr="00501804">
        <w:rPr>
          <w:rFonts w:ascii="Cambria" w:hAnsi="Cambria" w:cstheme="minorHAnsi"/>
        </w:rPr>
        <w:t>Odisha</w:t>
      </w:r>
      <w:proofErr w:type="spellEnd"/>
      <w:r w:rsidRPr="00501804">
        <w:rPr>
          <w:rFonts w:ascii="Cambria" w:hAnsi="Cambria" w:cstheme="minorHAnsi"/>
        </w:rPr>
        <w:t xml:space="preserve"> to identify causes for the high out of pocket expenditures in the public health facilities and suggest measures to improve them.</w:t>
      </w:r>
      <w:r w:rsidR="00501804">
        <w:rPr>
          <w:rFonts w:ascii="Cambria" w:hAnsi="Cambria" w:cstheme="minorHAnsi"/>
        </w:rPr>
        <w:t xml:space="preserve"> </w:t>
      </w:r>
      <w:r w:rsidRPr="00501804">
        <w:rPr>
          <w:rFonts w:ascii="Cambria" w:hAnsi="Cambria" w:cstheme="minorHAnsi"/>
        </w:rPr>
        <w:t>HSTP intends to partner with the Asian Institute of Public Health University (AIPHU) to undertake this study.</w:t>
      </w:r>
    </w:p>
    <w:p w:rsidR="00501804" w:rsidRPr="005F2412" w:rsidRDefault="00501804" w:rsidP="00F752DC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:rsidR="00501804" w:rsidRPr="00501804" w:rsidRDefault="00F752DC" w:rsidP="00F752DC">
      <w:pPr>
        <w:rPr>
          <w:rFonts w:ascii="Cambria" w:hAnsi="Cambria" w:cstheme="minorHAnsi"/>
        </w:rPr>
      </w:pPr>
      <w:r w:rsidRPr="00501804">
        <w:rPr>
          <w:rFonts w:ascii="Cambria" w:hAnsi="Cambria" w:cstheme="minorHAnsi"/>
        </w:rPr>
        <w:t>The proposed study will:</w:t>
      </w:r>
    </w:p>
    <w:p w:rsidR="00F752DC" w:rsidRPr="00501804" w:rsidRDefault="00F752DC" w:rsidP="00F752DC">
      <w:pPr>
        <w:pStyle w:val="ListParagraph"/>
        <w:numPr>
          <w:ilvl w:val="0"/>
          <w:numId w:val="5"/>
        </w:numPr>
        <w:spacing w:line="276" w:lineRule="auto"/>
        <w:ind w:left="714" w:hanging="357"/>
        <w:jc w:val="both"/>
        <w:rPr>
          <w:rFonts w:ascii="Cambria" w:hAnsi="Cambria" w:cstheme="minorHAnsi"/>
          <w:szCs w:val="24"/>
        </w:rPr>
      </w:pPr>
      <w:r w:rsidRPr="00501804">
        <w:rPr>
          <w:rFonts w:ascii="Cambria" w:hAnsi="Cambria" w:cstheme="minorHAnsi"/>
          <w:szCs w:val="24"/>
        </w:rPr>
        <w:t xml:space="preserve">Study the structure, functions and processes of drugs procurement and distribution across health care institutions in </w:t>
      </w:r>
      <w:proofErr w:type="spellStart"/>
      <w:r w:rsidRPr="00501804">
        <w:rPr>
          <w:rFonts w:ascii="Cambria" w:hAnsi="Cambria" w:cstheme="minorHAnsi"/>
          <w:szCs w:val="24"/>
        </w:rPr>
        <w:t>Odisha</w:t>
      </w:r>
      <w:proofErr w:type="spellEnd"/>
      <w:r w:rsidRPr="00501804">
        <w:rPr>
          <w:rFonts w:ascii="Cambria" w:hAnsi="Cambria" w:cstheme="minorHAnsi"/>
          <w:szCs w:val="24"/>
        </w:rPr>
        <w:t>.</w:t>
      </w:r>
    </w:p>
    <w:p w:rsidR="00F752DC" w:rsidRPr="00501804" w:rsidRDefault="00F752DC" w:rsidP="00F752DC">
      <w:pPr>
        <w:pStyle w:val="ListParagraph"/>
        <w:numPr>
          <w:ilvl w:val="0"/>
          <w:numId w:val="5"/>
        </w:numPr>
        <w:spacing w:line="276" w:lineRule="auto"/>
        <w:ind w:left="714" w:hanging="357"/>
        <w:jc w:val="both"/>
        <w:rPr>
          <w:rFonts w:ascii="Cambria" w:hAnsi="Cambria" w:cstheme="minorHAnsi"/>
          <w:szCs w:val="24"/>
        </w:rPr>
      </w:pPr>
      <w:r w:rsidRPr="00501804">
        <w:rPr>
          <w:rFonts w:ascii="Cambria" w:hAnsi="Cambria" w:cstheme="minorHAnsi"/>
          <w:bCs/>
          <w:szCs w:val="24"/>
          <w:lang w:val="en-US"/>
        </w:rPr>
        <w:t>Identify best practices in procurement, inventory and supply chain management systems in other states with similar drug procurement processes</w:t>
      </w:r>
      <w:r w:rsidRPr="00501804">
        <w:rPr>
          <w:rFonts w:ascii="Cambria" w:hAnsi="Cambria" w:cstheme="minorHAnsi"/>
          <w:szCs w:val="24"/>
        </w:rPr>
        <w:t>.</w:t>
      </w:r>
    </w:p>
    <w:p w:rsidR="00F752DC" w:rsidRPr="00501804" w:rsidRDefault="00F752DC" w:rsidP="00F752DC">
      <w:pPr>
        <w:pStyle w:val="ListParagraph"/>
        <w:numPr>
          <w:ilvl w:val="0"/>
          <w:numId w:val="5"/>
        </w:numPr>
        <w:spacing w:line="276" w:lineRule="auto"/>
        <w:ind w:left="714" w:hanging="357"/>
        <w:jc w:val="both"/>
        <w:rPr>
          <w:rFonts w:ascii="Cambria" w:hAnsi="Cambria" w:cstheme="minorHAnsi"/>
          <w:szCs w:val="24"/>
        </w:rPr>
      </w:pPr>
      <w:r w:rsidRPr="00501804">
        <w:rPr>
          <w:rFonts w:ascii="Cambria" w:hAnsi="Cambria" w:cstheme="minorHAnsi"/>
          <w:szCs w:val="24"/>
        </w:rPr>
        <w:t>Assess availability of essential drugs at the public health facilities through an assessment of stock-in and stock-out of medicines at the facility level.</w:t>
      </w:r>
    </w:p>
    <w:p w:rsidR="00F752DC" w:rsidRPr="00501804" w:rsidRDefault="00F752DC" w:rsidP="00F752DC">
      <w:pPr>
        <w:pStyle w:val="ListParagraph"/>
        <w:numPr>
          <w:ilvl w:val="0"/>
          <w:numId w:val="5"/>
        </w:numPr>
        <w:spacing w:line="276" w:lineRule="auto"/>
        <w:ind w:left="714" w:hanging="357"/>
        <w:jc w:val="both"/>
        <w:rPr>
          <w:rFonts w:ascii="Cambria" w:hAnsi="Cambria" w:cstheme="minorHAnsi"/>
          <w:szCs w:val="24"/>
        </w:rPr>
      </w:pPr>
      <w:r w:rsidRPr="00501804">
        <w:rPr>
          <w:rFonts w:ascii="Cambria" w:hAnsi="Cambria" w:cstheme="minorHAnsi"/>
          <w:szCs w:val="24"/>
        </w:rPr>
        <w:t xml:space="preserve">Examine the prescription practices </w:t>
      </w:r>
      <w:r w:rsidRPr="00501804">
        <w:rPr>
          <w:rFonts w:ascii="Cambria" w:hAnsi="Cambria" w:cstheme="minorHAnsi"/>
          <w:bCs/>
          <w:szCs w:val="24"/>
          <w:lang w:val="en-US"/>
        </w:rPr>
        <w:t>for essential medicines by health care physicians</w:t>
      </w:r>
      <w:r w:rsidRPr="00501804">
        <w:rPr>
          <w:rFonts w:ascii="Cambria" w:hAnsi="Cambria" w:cstheme="minorHAnsi"/>
          <w:szCs w:val="24"/>
        </w:rPr>
        <w:t xml:space="preserve"> at the public health facilities through a prescription audit.</w:t>
      </w:r>
    </w:p>
    <w:p w:rsidR="00182F2B" w:rsidRPr="00501804" w:rsidRDefault="00F752DC" w:rsidP="001F27F9">
      <w:pPr>
        <w:pStyle w:val="ListParagraph"/>
        <w:numPr>
          <w:ilvl w:val="0"/>
          <w:numId w:val="5"/>
        </w:numPr>
        <w:spacing w:line="276" w:lineRule="auto"/>
        <w:ind w:left="714" w:hanging="357"/>
        <w:jc w:val="both"/>
        <w:rPr>
          <w:rFonts w:ascii="Cambria" w:hAnsi="Cambria" w:cstheme="minorHAnsi"/>
          <w:szCs w:val="24"/>
        </w:rPr>
      </w:pPr>
      <w:r w:rsidRPr="00501804">
        <w:rPr>
          <w:rFonts w:ascii="Cambria" w:hAnsi="Cambria" w:cstheme="minorHAnsi"/>
          <w:szCs w:val="24"/>
        </w:rPr>
        <w:t xml:space="preserve">Understand patient </w:t>
      </w:r>
      <w:r w:rsidRPr="00501804">
        <w:rPr>
          <w:rFonts w:ascii="Cambria" w:hAnsi="Cambria" w:cstheme="minorHAnsi"/>
          <w:szCs w:val="24"/>
          <w:lang w:val="en-US"/>
        </w:rPr>
        <w:t>preferences and physician perceptions about patient preferences on drugs.</w:t>
      </w:r>
    </w:p>
    <w:p w:rsidR="00182F2B" w:rsidRDefault="00182F2B" w:rsidP="001F27F9">
      <w:pPr>
        <w:jc w:val="both"/>
        <w:rPr>
          <w:rFonts w:ascii="Cambria" w:hAnsi="Cambria" w:cs="Arial"/>
          <w:b/>
        </w:rPr>
      </w:pPr>
    </w:p>
    <w:p w:rsidR="001F27F9" w:rsidRDefault="001F27F9" w:rsidP="001F27F9">
      <w:pPr>
        <w:jc w:val="both"/>
        <w:rPr>
          <w:rFonts w:ascii="Cambria" w:hAnsi="Cambria" w:cs="Arial"/>
          <w:b/>
        </w:rPr>
      </w:pPr>
      <w:r w:rsidRPr="001F27F9">
        <w:rPr>
          <w:rFonts w:ascii="Cambria" w:hAnsi="Cambria" w:cs="Arial"/>
          <w:b/>
        </w:rPr>
        <w:t>Budget</w:t>
      </w:r>
    </w:p>
    <w:p w:rsidR="001F27F9" w:rsidRPr="001F27F9" w:rsidRDefault="001F27F9" w:rsidP="001F27F9">
      <w:pPr>
        <w:jc w:val="both"/>
        <w:rPr>
          <w:rFonts w:ascii="Cambria" w:hAnsi="Cambria" w:cs="Arial"/>
          <w:b/>
        </w:rPr>
      </w:pPr>
    </w:p>
    <w:p w:rsidR="001F27F9" w:rsidRPr="001F27F9" w:rsidRDefault="001F27F9" w:rsidP="001F27F9">
      <w:pPr>
        <w:shd w:val="clear" w:color="auto" w:fill="FFFFFF"/>
        <w:rPr>
          <w:rFonts w:ascii="Cambria" w:hAnsi="Cambria" w:cs="Arial"/>
        </w:rPr>
      </w:pPr>
      <w:r w:rsidRPr="001F27F9">
        <w:rPr>
          <w:rFonts w:ascii="Cambria" w:hAnsi="Cambria" w:cs="Arial"/>
        </w:rPr>
        <w:t xml:space="preserve">The total budget for proposed engagement will be INR </w:t>
      </w:r>
      <w:r w:rsidR="00F752DC" w:rsidRPr="00F752DC">
        <w:rPr>
          <w:rFonts w:ascii="Cambria" w:hAnsi="Cambria" w:cs="Arial"/>
        </w:rPr>
        <w:t>24</w:t>
      </w:r>
      <w:proofErr w:type="gramStart"/>
      <w:r w:rsidR="00F752DC" w:rsidRPr="00F752DC">
        <w:rPr>
          <w:rFonts w:ascii="Cambria" w:hAnsi="Cambria" w:cs="Arial"/>
        </w:rPr>
        <w:t>,85,930</w:t>
      </w:r>
      <w:proofErr w:type="gramEnd"/>
      <w:r w:rsidR="00F752DC">
        <w:rPr>
          <w:rFonts w:ascii="Calibri" w:hAnsi="Calibri" w:cs="Calibri"/>
          <w:b/>
          <w:bCs/>
          <w:color w:val="000000"/>
          <w:sz w:val="22"/>
        </w:rPr>
        <w:t xml:space="preserve"> </w:t>
      </w:r>
      <w:r>
        <w:rPr>
          <w:rFonts w:ascii="Cambria" w:hAnsi="Cambria" w:cs="Arial"/>
        </w:rPr>
        <w:t>inclusive</w:t>
      </w:r>
      <w:r w:rsidRPr="001F27F9">
        <w:rPr>
          <w:rFonts w:ascii="Cambria" w:hAnsi="Cambria" w:cs="Arial"/>
        </w:rPr>
        <w:t xml:space="preserve"> of taxes.</w:t>
      </w:r>
    </w:p>
    <w:p w:rsidR="001F27F9" w:rsidRPr="001F27F9" w:rsidRDefault="001F27F9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8A3AD2" w:rsidRDefault="008A3AD2" w:rsidP="008A3AD2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93845">
        <w:rPr>
          <w:rFonts w:ascii="Cambria" w:hAnsi="Cambria" w:cs="Calibri"/>
          <w:b/>
          <w:bCs/>
        </w:rPr>
        <w:t>Bank Account Details</w:t>
      </w:r>
    </w:p>
    <w:p w:rsidR="001F27F9" w:rsidRDefault="001F27F9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tbl>
      <w:tblPr>
        <w:tblW w:w="5000" w:type="pct"/>
        <w:tblLayout w:type="fixed"/>
        <w:tblLook w:val="04A0"/>
      </w:tblPr>
      <w:tblGrid>
        <w:gridCol w:w="236"/>
        <w:gridCol w:w="3171"/>
        <w:gridCol w:w="5835"/>
      </w:tblGrid>
      <w:tr w:rsidR="008A3AD2" w:rsidRPr="00501804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color w:val="000000"/>
              </w:rPr>
            </w:pPr>
            <w:r w:rsidRPr="00501804">
              <w:rPr>
                <w:rFonts w:ascii="Cambria" w:hAnsi="Cambria" w:cs="Calibri"/>
                <w:b/>
              </w:rPr>
              <w:t>Name of the Beneficiary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501804" w:rsidRDefault="000C7B5E" w:rsidP="006A29AF">
            <w:pPr>
              <w:rPr>
                <w:rFonts w:ascii="Cambria" w:hAnsi="Cambria" w:cs="Arial"/>
              </w:rPr>
            </w:pPr>
            <w:r w:rsidRPr="00501804">
              <w:rPr>
                <w:rFonts w:ascii="Cambria" w:hAnsi="Cambria" w:cs="Calibri"/>
              </w:rPr>
              <w:t>AIPH University</w:t>
            </w:r>
          </w:p>
        </w:tc>
      </w:tr>
      <w:tr w:rsidR="008A3AD2" w:rsidRPr="00501804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>Bank Name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501804" w:rsidRDefault="000C7B5E" w:rsidP="006A29AF">
            <w:pPr>
              <w:rPr>
                <w:rFonts w:ascii="Cambria" w:hAnsi="Cambria" w:cs="Arial"/>
              </w:rPr>
            </w:pPr>
            <w:r w:rsidRPr="00501804">
              <w:rPr>
                <w:rFonts w:ascii="Cambria" w:hAnsi="Cambria" w:cs="Calibri"/>
              </w:rPr>
              <w:t>State Bank of India</w:t>
            </w:r>
          </w:p>
        </w:tc>
      </w:tr>
      <w:tr w:rsidR="008A3AD2" w:rsidRPr="00501804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 xml:space="preserve">Account Number                       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0C7B5E" w:rsidP="006A29AF">
            <w:pPr>
              <w:rPr>
                <w:rFonts w:ascii="Cambria" w:hAnsi="Cambria" w:cs="Arial"/>
              </w:rPr>
            </w:pPr>
            <w:r w:rsidRPr="00501804">
              <w:rPr>
                <w:rFonts w:ascii="Cambria" w:hAnsi="Cambria" w:cstheme="minorHAnsi"/>
              </w:rPr>
              <w:t>37823845677</w:t>
            </w:r>
          </w:p>
        </w:tc>
      </w:tr>
      <w:tr w:rsidR="008A3AD2" w:rsidRPr="00501804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>Bank Address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501804" w:rsidRDefault="000C7B5E" w:rsidP="006A29AF">
            <w:pPr>
              <w:rPr>
                <w:rFonts w:ascii="Cambria" w:hAnsi="Cambria" w:cs="Arial"/>
              </w:rPr>
            </w:pPr>
            <w:r w:rsidRPr="00501804">
              <w:rPr>
                <w:rFonts w:ascii="Cambria" w:hAnsi="Cambria" w:cs="Calibri"/>
              </w:rPr>
              <w:t>Unit – 1, Near Capital Police Station, Bhubaneswar - 751001</w:t>
            </w:r>
          </w:p>
        </w:tc>
      </w:tr>
      <w:tr w:rsidR="008A3AD2" w:rsidRPr="00501804" w:rsidTr="006A29A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>IFSC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501804" w:rsidRDefault="000C7B5E" w:rsidP="006A29AF">
            <w:pPr>
              <w:rPr>
                <w:rFonts w:ascii="Cambria" w:hAnsi="Cambria" w:cs="Arial"/>
              </w:rPr>
            </w:pPr>
            <w:r w:rsidRPr="00501804">
              <w:rPr>
                <w:rFonts w:ascii="Cambria" w:hAnsi="Cambria" w:cstheme="minorHAnsi"/>
              </w:rPr>
              <w:t>SBIN0000041</w:t>
            </w:r>
          </w:p>
        </w:tc>
      </w:tr>
      <w:tr w:rsidR="008A3AD2" w:rsidRPr="00501804" w:rsidTr="006A29A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AD2" w:rsidRPr="00501804" w:rsidRDefault="008A3AD2" w:rsidP="006A29AF">
            <w:pPr>
              <w:rPr>
                <w:rFonts w:ascii="Cambria" w:hAnsi="Cambria" w:cs="Calibri"/>
                <w:b/>
              </w:rPr>
            </w:pPr>
            <w:r w:rsidRPr="00501804">
              <w:rPr>
                <w:rFonts w:ascii="Cambria" w:hAnsi="Cambria" w:cs="Calibri"/>
                <w:b/>
              </w:rPr>
              <w:t>Swift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AD2" w:rsidRPr="00501804" w:rsidRDefault="000C7B5E" w:rsidP="006A29AF">
            <w:pPr>
              <w:rPr>
                <w:rFonts w:ascii="Cambria" w:hAnsi="Cambria" w:cs="Calibri"/>
              </w:rPr>
            </w:pPr>
            <w:r w:rsidRPr="00501804">
              <w:rPr>
                <w:rFonts w:ascii="Cambria" w:hAnsi="Cambria" w:cstheme="minorHAnsi"/>
              </w:rPr>
              <w:t>SBININBB270</w:t>
            </w:r>
          </w:p>
        </w:tc>
      </w:tr>
    </w:tbl>
    <w:p w:rsidR="008A3AD2" w:rsidRPr="001F27F9" w:rsidRDefault="008A3AD2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0C7B5E" w:rsidRDefault="000C7B5E" w:rsidP="00745AE5">
      <w:pPr>
        <w:shd w:val="clear" w:color="auto" w:fill="FFFFFF"/>
        <w:rPr>
          <w:rFonts w:ascii="Cambria" w:hAnsi="Cambria" w:cstheme="minorHAnsi"/>
          <w:b/>
          <w:bCs/>
          <w:sz w:val="22"/>
        </w:rPr>
      </w:pPr>
    </w:p>
    <w:p w:rsidR="000C7B5E" w:rsidRDefault="000C7B5E" w:rsidP="00745AE5">
      <w:pPr>
        <w:shd w:val="clear" w:color="auto" w:fill="FFFFFF"/>
        <w:rPr>
          <w:rFonts w:ascii="Cambria" w:hAnsi="Cambria" w:cstheme="minorHAnsi"/>
          <w:b/>
          <w:bCs/>
          <w:sz w:val="22"/>
        </w:rPr>
      </w:pPr>
    </w:p>
    <w:p w:rsidR="000C7B5E" w:rsidRDefault="000C7B5E" w:rsidP="00745AE5">
      <w:pPr>
        <w:shd w:val="clear" w:color="auto" w:fill="FFFFFF"/>
        <w:rPr>
          <w:rFonts w:ascii="Cambria" w:hAnsi="Cambria" w:cstheme="minorHAnsi"/>
          <w:b/>
          <w:bCs/>
          <w:sz w:val="22"/>
        </w:rPr>
      </w:pPr>
    </w:p>
    <w:p w:rsidR="000C7B5E" w:rsidRDefault="000C7B5E" w:rsidP="00745AE5">
      <w:pPr>
        <w:shd w:val="clear" w:color="auto" w:fill="FFFFFF"/>
        <w:rPr>
          <w:rFonts w:ascii="Cambria" w:hAnsi="Cambria" w:cstheme="minorHAnsi"/>
          <w:b/>
          <w:bCs/>
          <w:sz w:val="22"/>
        </w:rPr>
      </w:pPr>
    </w:p>
    <w:p w:rsidR="000C7B5E" w:rsidRDefault="000C7B5E" w:rsidP="00745AE5">
      <w:pPr>
        <w:shd w:val="clear" w:color="auto" w:fill="FFFFFF"/>
        <w:rPr>
          <w:rFonts w:ascii="Cambria" w:hAnsi="Cambria" w:cstheme="minorHAnsi"/>
          <w:b/>
          <w:bCs/>
          <w:sz w:val="22"/>
        </w:rPr>
      </w:pPr>
    </w:p>
    <w:p w:rsidR="00745AE5" w:rsidRDefault="00745AE5" w:rsidP="00745AE5">
      <w:pPr>
        <w:shd w:val="clear" w:color="auto" w:fill="FFFFFF"/>
        <w:rPr>
          <w:rFonts w:ascii="Cambria" w:hAnsi="Cambria" w:cs="Calibri"/>
          <w:b/>
        </w:rPr>
      </w:pPr>
      <w:r w:rsidRPr="005A3771">
        <w:rPr>
          <w:rFonts w:ascii="Cambria" w:hAnsi="Cambria" w:cs="Calibri"/>
          <w:b/>
        </w:rPr>
        <w:t>Remuneration</w:t>
      </w:r>
    </w:p>
    <w:p w:rsidR="00745AE5" w:rsidRPr="005A3771" w:rsidRDefault="00745AE5" w:rsidP="00745AE5">
      <w:pPr>
        <w:shd w:val="clear" w:color="auto" w:fill="FFFFFF"/>
        <w:rPr>
          <w:rFonts w:ascii="Cambria" w:hAnsi="Cambria" w:cs="Calibri"/>
          <w:b/>
        </w:rPr>
      </w:pPr>
    </w:p>
    <w:p w:rsidR="00745AE5" w:rsidRPr="0000703F" w:rsidRDefault="00745AE5" w:rsidP="00745AE5">
      <w:pPr>
        <w:rPr>
          <w:rFonts w:ascii="Cambria" w:hAnsi="Cambria" w:cs="Arial"/>
        </w:rPr>
      </w:pPr>
      <w:r w:rsidRPr="005A3771">
        <w:rPr>
          <w:rFonts w:ascii="Cambria" w:hAnsi="Cambria"/>
        </w:rPr>
        <w:t xml:space="preserve">The entire fee/compensation, not exceeding </w:t>
      </w:r>
      <w:r w:rsidRPr="001F27F9">
        <w:rPr>
          <w:rFonts w:ascii="Cambria" w:hAnsi="Cambria" w:cs="Arial"/>
        </w:rPr>
        <w:t xml:space="preserve">INR </w:t>
      </w:r>
      <w:r w:rsidR="000C7B5E" w:rsidRPr="00F752DC">
        <w:rPr>
          <w:rFonts w:ascii="Cambria" w:hAnsi="Cambria" w:cs="Arial"/>
        </w:rPr>
        <w:t>24,85,930</w:t>
      </w:r>
      <w:r w:rsidR="000C7B5E">
        <w:rPr>
          <w:rFonts w:ascii="Calibri" w:hAnsi="Calibri" w:cs="Calibri"/>
          <w:b/>
          <w:bCs/>
          <w:color w:val="000000"/>
          <w:sz w:val="22"/>
        </w:rPr>
        <w:t xml:space="preserve"> </w:t>
      </w:r>
      <w:r>
        <w:rPr>
          <w:rFonts w:ascii="Cambria" w:hAnsi="Cambria" w:cs="Arial"/>
        </w:rPr>
        <w:t>inclusive</w:t>
      </w:r>
      <w:r w:rsidRPr="001F27F9">
        <w:rPr>
          <w:rFonts w:ascii="Cambria" w:hAnsi="Cambria" w:cs="Arial"/>
        </w:rPr>
        <w:t xml:space="preserve"> of taxes</w:t>
      </w:r>
      <w:r w:rsidRPr="00FD08B1">
        <w:rPr>
          <w:rFonts w:ascii="Cambria" w:hAnsi="Cambria" w:cs="Arial"/>
        </w:rPr>
        <w:t xml:space="preserve"> would</w:t>
      </w:r>
      <w:r w:rsidRPr="00B45641">
        <w:rPr>
          <w:rFonts w:ascii="Cambria" w:hAnsi="Cambria" w:cs="Arial"/>
        </w:rPr>
        <w:t xml:space="preserve"> be paid to the account mentioned above held by the </w:t>
      </w:r>
      <w:r w:rsidR="0000703F" w:rsidRPr="0000703F">
        <w:rPr>
          <w:rFonts w:ascii="Cambria" w:hAnsi="Cambria" w:cs="Arial"/>
        </w:rPr>
        <w:t>Asian Institute of Public Health University</w:t>
      </w:r>
      <w:r w:rsidR="0000703F">
        <w:rPr>
          <w:rFonts w:ascii="Cambria" w:hAnsi="Cambria" w:cs="Arial"/>
        </w:rPr>
        <w:t>.</w:t>
      </w:r>
      <w:r w:rsidR="0000703F" w:rsidRPr="0000703F">
        <w:rPr>
          <w:rFonts w:ascii="Cambria" w:hAnsi="Cambria" w:cs="Arial"/>
        </w:rPr>
        <w:t> </w:t>
      </w: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745AE5" w:rsidRPr="0014235D" w:rsidRDefault="0014235D" w:rsidP="0014235D">
      <w:pPr>
        <w:rPr>
          <w:rFonts w:ascii="Cambria" w:hAnsi="Cambria" w:cstheme="minorHAnsi"/>
          <w:b/>
          <w:bCs/>
          <w:sz w:val="22"/>
          <w:szCs w:val="22"/>
        </w:rPr>
      </w:pPr>
      <w:proofErr w:type="gramStart"/>
      <w:r w:rsidRPr="0014235D">
        <w:rPr>
          <w:rFonts w:ascii="Cambria" w:hAnsi="Cambria" w:cstheme="minorHAnsi"/>
          <w:b/>
          <w:bCs/>
          <w:sz w:val="22"/>
          <w:szCs w:val="22"/>
        </w:rPr>
        <w:t>Deliverables</w:t>
      </w:r>
      <w:r>
        <w:rPr>
          <w:rFonts w:ascii="Cambria" w:hAnsi="Cambria" w:cstheme="minorHAnsi"/>
          <w:b/>
          <w:bCs/>
          <w:sz w:val="22"/>
          <w:szCs w:val="22"/>
        </w:rPr>
        <w:t xml:space="preserve"> </w:t>
      </w:r>
      <w:r w:rsidR="000D6054">
        <w:rPr>
          <w:rFonts w:ascii="Cambria" w:hAnsi="Cambria" w:cstheme="minorHAnsi"/>
          <w:b/>
          <w:bCs/>
          <w:sz w:val="22"/>
          <w:szCs w:val="22"/>
        </w:rPr>
        <w:t xml:space="preserve"> </w:t>
      </w:r>
      <w:r w:rsidRPr="0014235D">
        <w:rPr>
          <w:rFonts w:ascii="Cambria" w:hAnsi="Cambria" w:cstheme="minorHAnsi"/>
          <w:b/>
          <w:bCs/>
          <w:sz w:val="22"/>
          <w:szCs w:val="22"/>
        </w:rPr>
        <w:t>&amp;</w:t>
      </w:r>
      <w:proofErr w:type="gramEnd"/>
      <w:r w:rsidRPr="0014235D">
        <w:rPr>
          <w:rFonts w:ascii="Cambria" w:hAnsi="Cambria" w:cstheme="minorHAnsi"/>
          <w:b/>
          <w:bCs/>
          <w:sz w:val="22"/>
          <w:szCs w:val="22"/>
        </w:rPr>
        <w:t xml:space="preserve"> </w:t>
      </w:r>
      <w:r>
        <w:rPr>
          <w:rFonts w:ascii="Cambria" w:hAnsi="Cambria" w:cstheme="minorHAnsi"/>
          <w:b/>
          <w:bCs/>
          <w:sz w:val="22"/>
          <w:szCs w:val="22"/>
        </w:rPr>
        <w:t xml:space="preserve"> </w:t>
      </w:r>
      <w:r w:rsidRPr="0014235D">
        <w:rPr>
          <w:rFonts w:ascii="Cambria" w:hAnsi="Cambria" w:cstheme="minorHAnsi"/>
          <w:b/>
          <w:bCs/>
          <w:sz w:val="22"/>
          <w:szCs w:val="22"/>
        </w:rPr>
        <w:t>Payment Schedule</w:t>
      </w: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tbl>
      <w:tblPr>
        <w:tblStyle w:val="TableGrid"/>
        <w:tblW w:w="0" w:type="auto"/>
        <w:tblLook w:val="04A0"/>
      </w:tblPr>
      <w:tblGrid>
        <w:gridCol w:w="795"/>
        <w:gridCol w:w="4042"/>
        <w:gridCol w:w="2290"/>
        <w:gridCol w:w="2115"/>
      </w:tblGrid>
      <w:tr w:rsidR="0014235D" w:rsidRPr="0014235D" w:rsidTr="0014235D">
        <w:tc>
          <w:tcPr>
            <w:tcW w:w="795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b/>
                <w:sz w:val="22"/>
              </w:rPr>
            </w:pPr>
            <w:r w:rsidRPr="0014235D">
              <w:rPr>
                <w:rFonts w:ascii="Cambria" w:hAnsi="Cambria" w:cstheme="minorHAnsi"/>
                <w:b/>
                <w:sz w:val="22"/>
              </w:rPr>
              <w:t>S. No</w:t>
            </w:r>
          </w:p>
        </w:tc>
        <w:tc>
          <w:tcPr>
            <w:tcW w:w="4042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b/>
                <w:bCs/>
                <w:sz w:val="22"/>
              </w:rPr>
            </w:pPr>
            <w:r w:rsidRPr="0014235D">
              <w:rPr>
                <w:rFonts w:ascii="Cambria" w:hAnsi="Cambria" w:cstheme="minorHAnsi"/>
                <w:b/>
                <w:bCs/>
                <w:sz w:val="22"/>
              </w:rPr>
              <w:t>Deliverable</w:t>
            </w:r>
          </w:p>
        </w:tc>
        <w:tc>
          <w:tcPr>
            <w:tcW w:w="2290" w:type="dxa"/>
          </w:tcPr>
          <w:p w:rsidR="0014235D" w:rsidRDefault="0014235D" w:rsidP="006A29A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</w:rPr>
            </w:pPr>
            <w:r w:rsidRPr="0014235D">
              <w:rPr>
                <w:rFonts w:ascii="Cambria" w:hAnsi="Cambria" w:cs="Calibri"/>
                <w:b/>
                <w:bCs/>
                <w:color w:val="000000"/>
                <w:sz w:val="22"/>
              </w:rPr>
              <w:t>Payment Instalment</w:t>
            </w:r>
          </w:p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b/>
                <w:bCs/>
                <w:sz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</w:rPr>
              <w:t>(INR)</w:t>
            </w:r>
          </w:p>
        </w:tc>
        <w:tc>
          <w:tcPr>
            <w:tcW w:w="2115" w:type="dxa"/>
          </w:tcPr>
          <w:p w:rsidR="0014235D" w:rsidRPr="0014235D" w:rsidRDefault="0014235D" w:rsidP="006A29AF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</w:rPr>
              <w:t>Percentage</w:t>
            </w:r>
          </w:p>
        </w:tc>
      </w:tr>
      <w:tr w:rsidR="0014235D" w:rsidRPr="0014235D" w:rsidTr="0014235D">
        <w:tc>
          <w:tcPr>
            <w:tcW w:w="795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4235D">
              <w:rPr>
                <w:rFonts w:ascii="Cambria" w:hAnsi="Cambria" w:cstheme="minorHAnsi"/>
                <w:sz w:val="22"/>
              </w:rPr>
              <w:t>1</w:t>
            </w:r>
          </w:p>
        </w:tc>
        <w:tc>
          <w:tcPr>
            <w:tcW w:w="4042" w:type="dxa"/>
          </w:tcPr>
          <w:p w:rsidR="0014235D" w:rsidRPr="0000703F" w:rsidRDefault="0000703F" w:rsidP="006A29AF">
            <w:pPr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Inception Report with specific milestones and timelines for entire project duration, Document on Constitution of Advisory Committee, details of submission of study proposal to State Research and Ethics Committee</w:t>
            </w:r>
          </w:p>
        </w:tc>
        <w:tc>
          <w:tcPr>
            <w:tcW w:w="2290" w:type="dxa"/>
          </w:tcPr>
          <w:p w:rsidR="0014235D" w:rsidRPr="0000703F" w:rsidRDefault="0000703F" w:rsidP="006A29AF">
            <w:pPr>
              <w:jc w:val="center"/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6,21,483.00</w:t>
            </w:r>
          </w:p>
        </w:tc>
        <w:tc>
          <w:tcPr>
            <w:tcW w:w="2115" w:type="dxa"/>
          </w:tcPr>
          <w:p w:rsidR="0014235D" w:rsidRPr="0000703F" w:rsidRDefault="0000703F" w:rsidP="006A29AF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25</w:t>
            </w:r>
            <w:r w:rsidR="0014235D" w:rsidRPr="0000703F">
              <w:rPr>
                <w:rFonts w:ascii="Cambria" w:hAnsi="Cambria" w:cs="Calibri"/>
                <w:color w:val="000000"/>
                <w:szCs w:val="24"/>
              </w:rPr>
              <w:t>%</w:t>
            </w:r>
          </w:p>
        </w:tc>
      </w:tr>
      <w:tr w:rsidR="0014235D" w:rsidRPr="0014235D" w:rsidTr="0014235D">
        <w:tc>
          <w:tcPr>
            <w:tcW w:w="795" w:type="dxa"/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4235D">
              <w:rPr>
                <w:rFonts w:ascii="Cambria" w:hAnsi="Cambria" w:cstheme="minorHAnsi"/>
                <w:sz w:val="22"/>
              </w:rPr>
              <w:t>2</w:t>
            </w:r>
          </w:p>
        </w:tc>
        <w:tc>
          <w:tcPr>
            <w:tcW w:w="4042" w:type="dxa"/>
          </w:tcPr>
          <w:p w:rsidR="0014235D" w:rsidRPr="0000703F" w:rsidRDefault="0000703F" w:rsidP="006A29AF">
            <w:pPr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 xml:space="preserve">Submission of final research methodology and tools; State Research and Ethics Committee Approval Certificate; Expert Consultation Report  </w:t>
            </w:r>
          </w:p>
        </w:tc>
        <w:tc>
          <w:tcPr>
            <w:tcW w:w="2290" w:type="dxa"/>
          </w:tcPr>
          <w:p w:rsidR="0014235D" w:rsidRPr="0000703F" w:rsidRDefault="0000703F" w:rsidP="006A29AF">
            <w:pPr>
              <w:jc w:val="center"/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9,94,372.00</w:t>
            </w:r>
          </w:p>
        </w:tc>
        <w:tc>
          <w:tcPr>
            <w:tcW w:w="2115" w:type="dxa"/>
          </w:tcPr>
          <w:p w:rsidR="0014235D" w:rsidRPr="0000703F" w:rsidRDefault="0014235D" w:rsidP="006A29AF">
            <w:pPr>
              <w:jc w:val="center"/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40%</w:t>
            </w:r>
          </w:p>
        </w:tc>
      </w:tr>
      <w:tr w:rsidR="0014235D" w:rsidRPr="0014235D" w:rsidTr="0014235D">
        <w:tc>
          <w:tcPr>
            <w:tcW w:w="795" w:type="dxa"/>
            <w:tcBorders>
              <w:bottom w:val="single" w:sz="4" w:space="0" w:color="auto"/>
            </w:tcBorders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  <w:r w:rsidRPr="0014235D">
              <w:rPr>
                <w:rFonts w:ascii="Cambria" w:hAnsi="Cambria" w:cstheme="minorHAnsi"/>
                <w:sz w:val="22"/>
              </w:rPr>
              <w:t xml:space="preserve">3 </w:t>
            </w:r>
          </w:p>
        </w:tc>
        <w:tc>
          <w:tcPr>
            <w:tcW w:w="4042" w:type="dxa"/>
            <w:tcBorders>
              <w:bottom w:val="single" w:sz="4" w:space="0" w:color="auto"/>
            </w:tcBorders>
          </w:tcPr>
          <w:p w:rsidR="0014235D" w:rsidRPr="0000703F" w:rsidRDefault="0000703F" w:rsidP="006A29AF">
            <w:pPr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 xml:space="preserve">Submission of draft study report  </w:t>
            </w: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:rsidR="0014235D" w:rsidRPr="0000703F" w:rsidRDefault="0000703F" w:rsidP="006A29AF">
            <w:pPr>
              <w:jc w:val="center"/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6,21,482.00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14235D" w:rsidRPr="0000703F" w:rsidRDefault="0000703F" w:rsidP="006A29AF">
            <w:pPr>
              <w:jc w:val="center"/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theme="minorHAnsi"/>
                <w:szCs w:val="24"/>
              </w:rPr>
              <w:t>25%</w:t>
            </w:r>
          </w:p>
        </w:tc>
      </w:tr>
      <w:tr w:rsidR="0000703F" w:rsidRPr="0014235D" w:rsidTr="0014235D">
        <w:tc>
          <w:tcPr>
            <w:tcW w:w="795" w:type="dxa"/>
            <w:tcBorders>
              <w:bottom w:val="single" w:sz="4" w:space="0" w:color="auto"/>
            </w:tcBorders>
          </w:tcPr>
          <w:p w:rsidR="0000703F" w:rsidRPr="0014235D" w:rsidRDefault="0000703F" w:rsidP="006A29AF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4</w:t>
            </w:r>
          </w:p>
        </w:tc>
        <w:tc>
          <w:tcPr>
            <w:tcW w:w="4042" w:type="dxa"/>
            <w:tcBorders>
              <w:bottom w:val="single" w:sz="4" w:space="0" w:color="auto"/>
            </w:tcBorders>
          </w:tcPr>
          <w:p w:rsidR="0000703F" w:rsidRPr="0000703F" w:rsidRDefault="0000703F" w:rsidP="006A29AF">
            <w:pPr>
              <w:rPr>
                <w:rFonts w:ascii="Cambria" w:hAnsi="Cambria" w:cs="Calibri"/>
                <w:color w:val="000000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 xml:space="preserve">Submission of final study report; Dissemination Workshop Report  </w:t>
            </w: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:rsidR="0000703F" w:rsidRPr="0000703F" w:rsidRDefault="0000703F" w:rsidP="006A29AF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 w:rsidRPr="0000703F">
              <w:rPr>
                <w:rFonts w:ascii="Cambria" w:hAnsi="Cambria" w:cs="Calibri"/>
                <w:color w:val="000000"/>
                <w:szCs w:val="24"/>
              </w:rPr>
              <w:t>2,48,593.00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00703F" w:rsidRPr="0000703F" w:rsidRDefault="0000703F" w:rsidP="006A29AF">
            <w:pPr>
              <w:jc w:val="center"/>
              <w:rPr>
                <w:rFonts w:ascii="Cambria" w:hAnsi="Cambria" w:cstheme="minorHAnsi"/>
                <w:szCs w:val="24"/>
              </w:rPr>
            </w:pPr>
            <w:r w:rsidRPr="0000703F">
              <w:rPr>
                <w:rFonts w:ascii="Cambria" w:hAnsi="Cambria" w:cstheme="minorHAnsi"/>
                <w:szCs w:val="24"/>
              </w:rPr>
              <w:t>10%</w:t>
            </w:r>
          </w:p>
        </w:tc>
      </w:tr>
      <w:tr w:rsidR="0014235D" w:rsidRPr="0014235D" w:rsidTr="0014235D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4235D" w:rsidRPr="0014235D" w:rsidRDefault="0014235D" w:rsidP="006A29AF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235D" w:rsidRPr="0014235D" w:rsidRDefault="0014235D" w:rsidP="0014235D">
            <w:pPr>
              <w:jc w:val="center"/>
              <w:rPr>
                <w:rFonts w:ascii="Cambria" w:hAnsi="Cambria" w:cs="Calibri"/>
                <w:b/>
                <w:color w:val="000000"/>
                <w:sz w:val="22"/>
              </w:rPr>
            </w:pPr>
            <w:r w:rsidRPr="0014235D">
              <w:rPr>
                <w:rFonts w:ascii="Cambria" w:hAnsi="Cambria" w:cs="Calibri"/>
                <w:b/>
                <w:color w:val="000000"/>
                <w:sz w:val="22"/>
              </w:rPr>
              <w:t>Total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4235D" w:rsidRPr="00D96374" w:rsidRDefault="00D96374" w:rsidP="006A29AF">
            <w:pPr>
              <w:jc w:val="center"/>
              <w:rPr>
                <w:rFonts w:ascii="Cambria" w:hAnsi="Cambria" w:cs="Calibri"/>
                <w:b/>
                <w:color w:val="000000"/>
                <w:szCs w:val="24"/>
              </w:rPr>
            </w:pPr>
            <w:r w:rsidRPr="00D96374">
              <w:rPr>
                <w:rFonts w:ascii="Cambria" w:hAnsi="Cambria" w:cs="Calibri"/>
                <w:b/>
                <w:bCs/>
                <w:color w:val="000000"/>
                <w:szCs w:val="24"/>
              </w:rPr>
              <w:t>24,85,930.00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235D" w:rsidRPr="0014235D" w:rsidRDefault="0014235D" w:rsidP="006A29AF">
            <w:pPr>
              <w:jc w:val="center"/>
              <w:rPr>
                <w:rFonts w:ascii="Cambria" w:hAnsi="Cambria" w:cstheme="minorHAnsi"/>
                <w:sz w:val="22"/>
              </w:rPr>
            </w:pPr>
          </w:p>
        </w:tc>
      </w:tr>
    </w:tbl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0D6054" w:rsidRDefault="000D6054" w:rsidP="000D6054">
      <w:pPr>
        <w:adjustRightInd w:val="0"/>
        <w:rPr>
          <w:rFonts w:ascii="Cambria" w:hAnsi="Cambria" w:cs="Calibri"/>
          <w:b/>
          <w:bCs/>
          <w:lang w:bidi="th-TH"/>
        </w:rPr>
      </w:pPr>
      <w:r w:rsidRPr="005A3771">
        <w:rPr>
          <w:rFonts w:ascii="Cambria" w:hAnsi="Cambria" w:cs="Calibri"/>
          <w:b/>
          <w:bCs/>
          <w:lang w:bidi="th-TH"/>
        </w:rPr>
        <w:t>Term of Contract</w:t>
      </w:r>
    </w:p>
    <w:p w:rsidR="000D6054" w:rsidRPr="00156C01" w:rsidRDefault="000D6054" w:rsidP="000D6054">
      <w:pPr>
        <w:adjustRightInd w:val="0"/>
        <w:rPr>
          <w:rFonts w:ascii="Cambria" w:hAnsi="Cambria" w:cs="Calibri"/>
          <w:b/>
          <w:bCs/>
          <w:lang w:bidi="th-TH"/>
        </w:rPr>
      </w:pPr>
    </w:p>
    <w:p w:rsidR="000D6054" w:rsidRDefault="000D6054" w:rsidP="000D6054">
      <w:pPr>
        <w:jc w:val="both"/>
        <w:rPr>
          <w:rFonts w:ascii="Cambria" w:hAnsi="Cambria" w:cs="Calibri"/>
          <w:b/>
          <w:bCs/>
          <w:lang w:bidi="th-TH"/>
        </w:rPr>
      </w:pPr>
      <w:r w:rsidRPr="005A3771">
        <w:rPr>
          <w:rFonts w:ascii="Cambria" w:hAnsi="Cambria" w:cs="Calibri"/>
          <w:lang w:bidi="th-TH"/>
        </w:rPr>
        <w:t xml:space="preserve">This contract period </w:t>
      </w:r>
      <w:r>
        <w:rPr>
          <w:rFonts w:ascii="Cambria" w:hAnsi="Cambria" w:cs="Calibri"/>
          <w:lang w:bidi="th-TH"/>
        </w:rPr>
        <w:t>is</w:t>
      </w:r>
      <w:r w:rsidRPr="005A3771">
        <w:rPr>
          <w:rFonts w:ascii="Cambria" w:hAnsi="Cambria" w:cs="Calibri"/>
          <w:lang w:bidi="th-TH"/>
        </w:rPr>
        <w:t xml:space="preserve"> from </w:t>
      </w:r>
      <w:r w:rsidR="00501804">
        <w:rPr>
          <w:rFonts w:ascii="Cambria" w:hAnsi="Cambria" w:cs="Calibri"/>
          <w:b/>
          <w:lang w:bidi="th-TH"/>
        </w:rPr>
        <w:t>August 22</w:t>
      </w:r>
      <w:r>
        <w:rPr>
          <w:rFonts w:ascii="Cambria" w:hAnsi="Cambria" w:cs="Calibri"/>
          <w:b/>
          <w:lang w:bidi="th-TH"/>
        </w:rPr>
        <w:t>, 2022</w:t>
      </w:r>
      <w:r w:rsidRPr="005A3771">
        <w:rPr>
          <w:rFonts w:ascii="Cambria" w:hAnsi="Cambria" w:cs="Calibri"/>
          <w:lang w:bidi="th-TH"/>
        </w:rPr>
        <w:t xml:space="preserve"> to </w:t>
      </w:r>
      <w:r>
        <w:rPr>
          <w:rFonts w:ascii="Cambria" w:hAnsi="Cambria" w:cs="Calibri"/>
          <w:b/>
          <w:lang w:bidi="th-TH"/>
        </w:rPr>
        <w:t>November 30, 2022</w:t>
      </w:r>
      <w:r w:rsidRPr="005A3771">
        <w:rPr>
          <w:rFonts w:ascii="Cambria" w:hAnsi="Cambria" w:cs="Calibri"/>
          <w:b/>
          <w:lang w:bidi="th-TH"/>
        </w:rPr>
        <w:t>.</w:t>
      </w:r>
      <w:r>
        <w:rPr>
          <w:rFonts w:ascii="Cambria" w:hAnsi="Cambria" w:cs="Calibri"/>
          <w:b/>
          <w:lang w:bidi="th-TH"/>
        </w:rPr>
        <w:t xml:space="preserve"> </w:t>
      </w:r>
      <w:r w:rsidR="00501804" w:rsidRPr="0000703F">
        <w:rPr>
          <w:rFonts w:ascii="Cambria" w:hAnsi="Cambria" w:cs="Arial"/>
        </w:rPr>
        <w:t>Asian Institute of Public Health University</w:t>
      </w:r>
      <w:r w:rsidR="00501804" w:rsidRPr="005A3771">
        <w:rPr>
          <w:rFonts w:ascii="Cambria" w:hAnsi="Cambria" w:cs="Calibri"/>
          <w:lang w:bidi="th-TH"/>
        </w:rPr>
        <w:t xml:space="preserve"> </w:t>
      </w:r>
      <w:r w:rsidRPr="005A3771">
        <w:rPr>
          <w:rFonts w:ascii="Cambria" w:hAnsi="Cambria" w:cs="Calibri"/>
          <w:lang w:bidi="th-TH"/>
        </w:rPr>
        <w:t>will be engaged under the agreement from the date of signing the contract till the date of closure as mentioned above</w:t>
      </w:r>
      <w:r w:rsidRPr="005A3771">
        <w:rPr>
          <w:rFonts w:ascii="Cambria" w:hAnsi="Cambria" w:cs="Calibri"/>
          <w:b/>
          <w:bCs/>
          <w:lang w:bidi="th-TH"/>
        </w:rPr>
        <w:t>. The contract will be considered closed when the deliverable is received, and final report is submitted.</w:t>
      </w:r>
    </w:p>
    <w:p w:rsidR="00745AE5" w:rsidRDefault="00745AE5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0D6054" w:rsidRDefault="000D6054" w:rsidP="00294BAB">
      <w:pPr>
        <w:spacing w:line="276" w:lineRule="auto"/>
        <w:rPr>
          <w:rFonts w:ascii="Cambria" w:hAnsi="Cambria" w:cstheme="minorHAnsi"/>
          <w:b/>
          <w:bCs/>
          <w:sz w:val="22"/>
        </w:rPr>
      </w:pPr>
    </w:p>
    <w:p w:rsidR="00A31ABB" w:rsidRPr="001F27F9" w:rsidRDefault="00A31ABB" w:rsidP="00294BAB">
      <w:pPr>
        <w:rPr>
          <w:rFonts w:ascii="Cambria" w:hAnsi="Cambria" w:cs="Calibri"/>
          <w:color w:val="000000"/>
          <w:sz w:val="22"/>
        </w:rPr>
      </w:pPr>
    </w:p>
    <w:p w:rsidR="00294BAB" w:rsidRPr="001F27F9" w:rsidRDefault="00294BAB" w:rsidP="00AC4157">
      <w:pPr>
        <w:spacing w:line="276" w:lineRule="auto"/>
        <w:rPr>
          <w:rFonts w:ascii="Cambria" w:hAnsi="Cambria" w:cstheme="minorHAnsi"/>
          <w:sz w:val="22"/>
        </w:rPr>
      </w:pPr>
    </w:p>
    <w:sectPr w:rsidR="00294BAB" w:rsidRPr="001F27F9" w:rsidSect="000E20E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A1809"/>
    <w:multiLevelType w:val="hybridMultilevel"/>
    <w:tmpl w:val="AAB434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763554"/>
    <w:multiLevelType w:val="hybridMultilevel"/>
    <w:tmpl w:val="616867DC"/>
    <w:lvl w:ilvl="0" w:tplc="611CEC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9B5DD8"/>
    <w:multiLevelType w:val="hybridMultilevel"/>
    <w:tmpl w:val="E2882C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C4638"/>
    <w:multiLevelType w:val="hybridMultilevel"/>
    <w:tmpl w:val="92C8B00C"/>
    <w:lvl w:ilvl="0" w:tplc="E878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64421"/>
    <w:multiLevelType w:val="hybridMultilevel"/>
    <w:tmpl w:val="D5A26574"/>
    <w:lvl w:ilvl="0" w:tplc="4009000F">
      <w:start w:val="1"/>
      <w:numFmt w:val="decimal"/>
      <w:lvlText w:val="%1."/>
      <w:lvlJc w:val="left"/>
      <w:pPr>
        <w:ind w:left="839" w:hanging="360"/>
      </w:p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ADA"/>
    <w:rsid w:val="0000703F"/>
    <w:rsid w:val="00017290"/>
    <w:rsid w:val="00047029"/>
    <w:rsid w:val="000C7B5E"/>
    <w:rsid w:val="000D6054"/>
    <w:rsid w:val="000E20EA"/>
    <w:rsid w:val="0014235D"/>
    <w:rsid w:val="00160E70"/>
    <w:rsid w:val="00182F2B"/>
    <w:rsid w:val="001D00D9"/>
    <w:rsid w:val="001F27F9"/>
    <w:rsid w:val="00294BAB"/>
    <w:rsid w:val="002D518C"/>
    <w:rsid w:val="003433EC"/>
    <w:rsid w:val="00427417"/>
    <w:rsid w:val="00437745"/>
    <w:rsid w:val="004B2B2A"/>
    <w:rsid w:val="004E1EE1"/>
    <w:rsid w:val="00501804"/>
    <w:rsid w:val="00593BA1"/>
    <w:rsid w:val="00597AED"/>
    <w:rsid w:val="005B0947"/>
    <w:rsid w:val="006506B5"/>
    <w:rsid w:val="0065753B"/>
    <w:rsid w:val="00694A97"/>
    <w:rsid w:val="006B48CF"/>
    <w:rsid w:val="00745AE5"/>
    <w:rsid w:val="00776B7C"/>
    <w:rsid w:val="0082219A"/>
    <w:rsid w:val="008A3AD2"/>
    <w:rsid w:val="0096569D"/>
    <w:rsid w:val="009B3779"/>
    <w:rsid w:val="00A31ABB"/>
    <w:rsid w:val="00AA6CFA"/>
    <w:rsid w:val="00AC4157"/>
    <w:rsid w:val="00B05541"/>
    <w:rsid w:val="00B74A79"/>
    <w:rsid w:val="00BE3DE6"/>
    <w:rsid w:val="00BE7AB0"/>
    <w:rsid w:val="00CD3CBD"/>
    <w:rsid w:val="00CD751F"/>
    <w:rsid w:val="00D146C2"/>
    <w:rsid w:val="00D96374"/>
    <w:rsid w:val="00DA2315"/>
    <w:rsid w:val="00DF04E6"/>
    <w:rsid w:val="00E21A61"/>
    <w:rsid w:val="00EF6498"/>
    <w:rsid w:val="00F24063"/>
    <w:rsid w:val="00F5154C"/>
    <w:rsid w:val="00F752DC"/>
    <w:rsid w:val="00FA2272"/>
    <w:rsid w:val="00FD6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BB"/>
    <w:pPr>
      <w:spacing w:after="0" w:line="240" w:lineRule="auto"/>
    </w:pPr>
    <w:rPr>
      <w:rFonts w:eastAsia="Times New Roman" w:cs="Times New Roman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1F"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6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6498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6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498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E21A61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DA2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LOTUS</cp:lastModifiedBy>
  <cp:revision>40</cp:revision>
  <dcterms:created xsi:type="dcterms:W3CDTF">2022-07-08T07:05:00Z</dcterms:created>
  <dcterms:modified xsi:type="dcterms:W3CDTF">2022-08-24T10:14:00Z</dcterms:modified>
</cp:coreProperties>
</file>