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FC" w:rsidRDefault="003F39FC"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B827C9" w:rsidRPr="00331607" w:rsidRDefault="00B827C9"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B827C9" w:rsidRPr="00331607" w:rsidRDefault="00B827C9" w:rsidP="00B827C9">
      <w:pPr>
        <w:spacing w:after="0"/>
        <w:jc w:val="both"/>
        <w:rPr>
          <w:rFonts w:asciiTheme="majorHAnsi" w:hAnsiTheme="majorHAnsi"/>
          <w:b/>
          <w:sz w:val="24"/>
          <w:szCs w:val="24"/>
        </w:rPr>
      </w:pPr>
    </w:p>
    <w:tbl>
      <w:tblPr>
        <w:tblW w:w="9108" w:type="dxa"/>
        <w:tblInd w:w="18" w:type="dxa"/>
        <w:tblLook w:val="01E0"/>
      </w:tblPr>
      <w:tblGrid>
        <w:gridCol w:w="2070"/>
        <w:gridCol w:w="7038"/>
      </w:tblGrid>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B827C9" w:rsidRPr="006F70E8" w:rsidRDefault="006F70E8" w:rsidP="006F70E8">
            <w:pPr>
              <w:jc w:val="both"/>
              <w:rPr>
                <w:rFonts w:ascii="Cambria" w:eastAsia="Times New Roman" w:hAnsi="Cambria" w:cs="Calibri"/>
                <w:b/>
                <w:color w:val="000000"/>
                <w:sz w:val="24"/>
                <w:szCs w:val="24"/>
              </w:rPr>
            </w:pPr>
            <w:r>
              <w:rPr>
                <w:rFonts w:ascii="Cambria" w:eastAsia="Times New Roman" w:hAnsi="Cambria" w:cs="Calibri"/>
                <w:b/>
                <w:color w:val="000000"/>
                <w:sz w:val="24"/>
                <w:szCs w:val="24"/>
              </w:rPr>
              <w:t xml:space="preserve"> </w:t>
            </w:r>
            <w:r w:rsidR="00290D24" w:rsidRPr="00290D24">
              <w:rPr>
                <w:rFonts w:ascii="Cambria" w:eastAsia="Times New Roman" w:hAnsi="Cambria" w:cs="Calibri"/>
                <w:b/>
                <w:color w:val="000000"/>
                <w:sz w:val="24"/>
                <w:szCs w:val="24"/>
              </w:rPr>
              <w:t>Technical Specialist (Digital Health)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6F70E8" w:rsidRDefault="00B827C9" w:rsidP="006F70E8">
            <w:pPr>
              <w:jc w:val="both"/>
              <w:rPr>
                <w:rFonts w:ascii="Times New Roman" w:hAnsi="Times New Roman"/>
              </w:rPr>
            </w:pPr>
            <w:r w:rsidRPr="00331607">
              <w:rPr>
                <w:rFonts w:asciiTheme="majorHAnsi" w:hAnsiTheme="majorHAnsi"/>
                <w:b/>
                <w:sz w:val="24"/>
                <w:szCs w:val="24"/>
              </w:rPr>
              <w:t xml:space="preserve"> </w:t>
            </w:r>
            <w:r w:rsidR="00290D24" w:rsidRPr="00290D24">
              <w:rPr>
                <w:rFonts w:ascii="Cambria" w:eastAsia="Times New Roman" w:hAnsi="Cambria" w:cs="Calibri"/>
                <w:b/>
                <w:color w:val="000000"/>
                <w:sz w:val="24"/>
                <w:szCs w:val="24"/>
              </w:rPr>
              <w:t>Technical Head, Digital Health</w:t>
            </w:r>
          </w:p>
          <w:p w:rsidR="00B827C9" w:rsidRPr="00331607" w:rsidRDefault="00B827C9" w:rsidP="00C8437D">
            <w:pPr>
              <w:jc w:val="both"/>
              <w:rPr>
                <w:rFonts w:asciiTheme="majorHAnsi" w:hAnsiTheme="majorHAnsi"/>
                <w:b/>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Amount INR </w:t>
            </w:r>
            <w:r w:rsidR="00312F72">
              <w:rPr>
                <w:rFonts w:asciiTheme="majorHAnsi" w:hAnsiTheme="majorHAnsi"/>
                <w:sz w:val="24"/>
                <w:szCs w:val="24"/>
              </w:rPr>
              <w:t>1</w:t>
            </w:r>
            <w:r w:rsidRPr="00331607">
              <w:rPr>
                <w:rFonts w:asciiTheme="majorHAnsi" w:hAnsiTheme="majorHAnsi"/>
                <w:sz w:val="24"/>
                <w:szCs w:val="24"/>
              </w:rPr>
              <w:t>,</w:t>
            </w:r>
            <w:r w:rsidR="00423B93">
              <w:rPr>
                <w:rFonts w:asciiTheme="majorHAnsi" w:hAnsiTheme="majorHAnsi"/>
                <w:sz w:val="24"/>
                <w:szCs w:val="24"/>
              </w:rPr>
              <w:t>50</w:t>
            </w:r>
            <w:r w:rsidRPr="00331607">
              <w:rPr>
                <w:rFonts w:asciiTheme="majorHAnsi" w:hAnsiTheme="majorHAnsi"/>
                <w:sz w:val="24"/>
                <w:szCs w:val="24"/>
              </w:rPr>
              <w:t>0,000/- per annum (Subject to Deduction of TDS)</w:t>
            </w:r>
          </w:p>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Salary Break Up</w:t>
            </w:r>
          </w:p>
          <w:p w:rsidR="00B827C9" w:rsidRPr="00331607" w:rsidRDefault="00B827C9" w:rsidP="00C8437D">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B827C9" w:rsidRPr="00331607" w:rsidTr="00C8437D">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p>
              </w:tc>
            </w:tr>
            <w:tr w:rsidR="00B827C9" w:rsidRPr="00331607" w:rsidTr="00C8437D">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sidR="00E02263">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423B93" w:rsidP="006F70E8">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62,500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423B93"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750,000</w:t>
                  </w:r>
                </w:p>
              </w:tc>
            </w:tr>
            <w:tr w:rsidR="00B827C9" w:rsidRPr="00331607" w:rsidTr="00C8437D">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sidR="00E02263">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31,250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C8437D">
                  <w:pPr>
                    <w:spacing w:after="0" w:line="240" w:lineRule="auto"/>
                    <w:jc w:val="both"/>
                    <w:rPr>
                      <w:rFonts w:ascii="Cambria" w:eastAsia="Times New Roman" w:hAnsi="Cambria" w:cs="Arial"/>
                      <w:sz w:val="24"/>
                      <w:szCs w:val="24"/>
                    </w:rPr>
                  </w:pPr>
                  <w:r>
                    <w:rPr>
                      <w:rFonts w:ascii="Cambria" w:eastAsia="Times New Roman" w:hAnsi="Cambria" w:cs="Arial"/>
                      <w:sz w:val="24"/>
                      <w:szCs w:val="24"/>
                    </w:rPr>
                    <w:t>375,000</w:t>
                  </w:r>
                </w:p>
              </w:tc>
            </w:tr>
            <w:tr w:rsidR="00B827C9" w:rsidRPr="00331607" w:rsidTr="00C8437D">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18,750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225,000</w:t>
                  </w:r>
                </w:p>
              </w:tc>
            </w:tr>
            <w:tr w:rsidR="00B827C9" w:rsidRPr="00331607" w:rsidTr="00C8437D">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sidR="003C0F9E">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12,500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150,000</w:t>
                  </w:r>
                </w:p>
              </w:tc>
            </w:tr>
            <w:tr w:rsidR="00B827C9" w:rsidRPr="00331607" w:rsidTr="00C8437D">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6F70E8">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125,000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423B93" w:rsidP="006F70E8">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1,500,000</w:t>
                  </w:r>
                </w:p>
              </w:tc>
            </w:tr>
          </w:tbl>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Full-time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B827C9" w:rsidRPr="00331607" w:rsidRDefault="0061146A" w:rsidP="00423B93">
            <w:pPr>
              <w:jc w:val="both"/>
              <w:rPr>
                <w:rFonts w:asciiTheme="majorHAnsi" w:hAnsiTheme="majorHAnsi"/>
                <w:b/>
                <w:sz w:val="24"/>
                <w:szCs w:val="24"/>
              </w:rPr>
            </w:pPr>
            <w:r>
              <w:rPr>
                <w:rFonts w:asciiTheme="majorHAnsi" w:hAnsiTheme="majorHAnsi"/>
                <w:b/>
                <w:sz w:val="24"/>
                <w:szCs w:val="24"/>
              </w:rPr>
              <w:t>0</w:t>
            </w:r>
            <w:r w:rsidR="00423B93">
              <w:rPr>
                <w:rFonts w:asciiTheme="majorHAnsi" w:hAnsiTheme="majorHAnsi"/>
                <w:b/>
                <w:sz w:val="24"/>
                <w:szCs w:val="24"/>
              </w:rPr>
              <w:t>8</w:t>
            </w:r>
            <w:r w:rsidR="00B827C9" w:rsidRPr="00331607">
              <w:rPr>
                <w:rFonts w:asciiTheme="majorHAnsi" w:hAnsiTheme="majorHAnsi"/>
                <w:b/>
                <w:sz w:val="24"/>
                <w:szCs w:val="24"/>
              </w:rPr>
              <w:t>/</w:t>
            </w:r>
            <w:r>
              <w:rPr>
                <w:rFonts w:asciiTheme="majorHAnsi" w:hAnsiTheme="majorHAnsi"/>
                <w:b/>
                <w:sz w:val="24"/>
                <w:szCs w:val="24"/>
              </w:rPr>
              <w:t>1</w:t>
            </w:r>
            <w:r w:rsidR="00423B93">
              <w:rPr>
                <w:rFonts w:asciiTheme="majorHAnsi" w:hAnsiTheme="majorHAnsi"/>
                <w:b/>
                <w:sz w:val="24"/>
                <w:szCs w:val="24"/>
              </w:rPr>
              <w:t>2</w:t>
            </w:r>
            <w:r w:rsidR="00B827C9" w:rsidRPr="00331607">
              <w:rPr>
                <w:rFonts w:asciiTheme="majorHAnsi" w:hAnsiTheme="majorHAnsi"/>
                <w:b/>
                <w:sz w:val="24"/>
                <w:szCs w:val="24"/>
              </w:rPr>
              <w:t>/202</w:t>
            </w:r>
            <w:r w:rsidR="00312F72">
              <w:rPr>
                <w:rFonts w:asciiTheme="majorHAnsi" w:hAnsiTheme="majorHAnsi"/>
                <w:b/>
                <w:sz w:val="24"/>
                <w:szCs w:val="24"/>
              </w:rPr>
              <w:t>2</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B827C9" w:rsidRPr="00331607" w:rsidRDefault="00423B93" w:rsidP="00C8437D">
            <w:pPr>
              <w:jc w:val="both"/>
              <w:rPr>
                <w:rFonts w:asciiTheme="majorHAnsi" w:hAnsiTheme="majorHAnsi"/>
                <w:sz w:val="24"/>
                <w:szCs w:val="24"/>
              </w:rPr>
            </w:pPr>
            <w:r>
              <w:rPr>
                <w:rFonts w:asciiTheme="majorHAnsi" w:hAnsiTheme="majorHAnsi"/>
                <w:b/>
                <w:sz w:val="24"/>
                <w:szCs w:val="24"/>
              </w:rPr>
              <w:t>Open</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Taxes</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 xml:space="preserve">The Company shall be liable to deduct and remit tax to the appropriate government agency on behalf of the EMPLOYEE. The Company shall not be responsible for the withholding or payment </w:t>
            </w:r>
            <w:r w:rsidRPr="00331607">
              <w:rPr>
                <w:rFonts w:asciiTheme="majorHAnsi" w:hAnsiTheme="majorHAnsi" w:cs="Arial"/>
                <w:sz w:val="24"/>
                <w:szCs w:val="24"/>
              </w:rPr>
              <w:lastRenderedPageBreak/>
              <w:t>of any taxes liable to be paid by the EMPLOYEE other than taxes that are to be deducted under the applicable laws of India from the EMPLOYEE’s salary.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Payroll Schedule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basis through direct deposit or cheque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B827C9" w:rsidRPr="00331607" w:rsidRDefault="00B827C9" w:rsidP="00423B93">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423B93">
              <w:rPr>
                <w:rFonts w:asciiTheme="majorHAnsi" w:hAnsiTheme="majorHAnsi" w:cs="Arial"/>
                <w:sz w:val="24"/>
                <w:szCs w:val="24"/>
              </w:rPr>
              <w:t>six</w:t>
            </w:r>
            <w:r w:rsidRPr="00331607">
              <w:rPr>
                <w:rFonts w:asciiTheme="majorHAnsi" w:hAnsiTheme="majorHAnsi" w:cs="Arial"/>
                <w:sz w:val="24"/>
                <w:szCs w:val="24"/>
              </w:rPr>
              <w:t xml:space="preserve"> (</w:t>
            </w:r>
            <w:r w:rsidR="00423B93">
              <w:rPr>
                <w:rFonts w:asciiTheme="majorHAnsi" w:hAnsiTheme="majorHAnsi" w:cs="Arial"/>
                <w:sz w:val="24"/>
                <w:szCs w:val="24"/>
              </w:rPr>
              <w:t>6</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B827C9" w:rsidRDefault="00B827C9" w:rsidP="00C8437D">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B827C9" w:rsidRDefault="00B827C9" w:rsidP="003F39FC">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w:t>
            </w:r>
            <w:r w:rsidR="003F39FC" w:rsidRPr="00331607">
              <w:rPr>
                <w:rFonts w:asciiTheme="majorHAnsi" w:hAnsiTheme="majorHAnsi"/>
                <w:sz w:val="24"/>
                <w:szCs w:val="24"/>
              </w:rPr>
              <w:t>are</w:t>
            </w:r>
            <w:r w:rsidRPr="00331607">
              <w:rPr>
                <w:rFonts w:asciiTheme="majorHAnsi" w:hAnsiTheme="majorHAnsi"/>
                <w:sz w:val="24"/>
                <w:szCs w:val="24"/>
              </w:rPr>
              <w:t xml:space="preserve"> equally applicable to all </w:t>
            </w:r>
            <w:r w:rsidR="003F39FC" w:rsidRPr="00331607">
              <w:rPr>
                <w:rFonts w:asciiTheme="majorHAnsi" w:hAnsiTheme="majorHAnsi"/>
                <w:sz w:val="24"/>
                <w:szCs w:val="24"/>
              </w:rPr>
              <w:t>its</w:t>
            </w:r>
            <w:r w:rsidRPr="00331607">
              <w:rPr>
                <w:rFonts w:asciiTheme="majorHAnsi" w:hAnsiTheme="majorHAnsi"/>
                <w:sz w:val="24"/>
                <w:szCs w:val="24"/>
              </w:rPr>
              <w:t xml:space="preserve"> </w:t>
            </w:r>
            <w:r w:rsidRPr="00331607">
              <w:rPr>
                <w:rFonts w:asciiTheme="majorHAnsi" w:hAnsiTheme="majorHAnsi"/>
                <w:sz w:val="24"/>
                <w:szCs w:val="24"/>
              </w:rPr>
              <w:lastRenderedPageBreak/>
              <w:t xml:space="preserve">Subsidiaries and Branches.  </w:t>
            </w:r>
            <w:r w:rsidR="003F39FC" w:rsidRPr="00331607">
              <w:rPr>
                <w:rFonts w:asciiTheme="majorHAnsi" w:hAnsiTheme="majorHAnsi"/>
                <w:sz w:val="24"/>
                <w:szCs w:val="24"/>
              </w:rPr>
              <w:t>And</w:t>
            </w:r>
            <w:r w:rsidRPr="00331607">
              <w:rPr>
                <w:rFonts w:asciiTheme="majorHAnsi" w:hAnsiTheme="majorHAnsi"/>
                <w:sz w:val="24"/>
                <w:szCs w:val="24"/>
              </w:rPr>
              <w:t xml:space="preserve">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 xml:space="preserve">y, you will not (i)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Transfer</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B827C9" w:rsidRPr="00331607" w:rsidRDefault="00B827C9" w:rsidP="00423B93">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423B93">
              <w:rPr>
                <w:rFonts w:asciiTheme="majorHAnsi" w:hAnsiTheme="majorHAnsi"/>
                <w:b/>
                <w:sz w:val="24"/>
                <w:szCs w:val="24"/>
              </w:rPr>
              <w:t>two</w:t>
            </w:r>
            <w:r w:rsidRPr="00331607">
              <w:rPr>
                <w:rFonts w:asciiTheme="majorHAnsi" w:hAnsiTheme="majorHAnsi"/>
                <w:b/>
                <w:sz w:val="24"/>
                <w:szCs w:val="24"/>
              </w:rPr>
              <w:t xml:space="preserve"> month</w:t>
            </w:r>
            <w:r w:rsidR="00423B93">
              <w:rPr>
                <w:rFonts w:asciiTheme="majorHAnsi" w:hAnsiTheme="majorHAnsi"/>
                <w:b/>
                <w:sz w:val="24"/>
                <w:szCs w:val="24"/>
              </w:rPr>
              <w:t>s</w:t>
            </w:r>
            <w:r w:rsidR="0061146A">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Termination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423B93">
              <w:rPr>
                <w:rFonts w:asciiTheme="majorHAnsi" w:hAnsiTheme="majorHAnsi"/>
                <w:sz w:val="24"/>
                <w:szCs w:val="24"/>
              </w:rPr>
              <w:t>two</w:t>
            </w:r>
            <w:r w:rsidRPr="00331607">
              <w:rPr>
                <w:rFonts w:asciiTheme="majorHAnsi" w:hAnsiTheme="majorHAnsi"/>
                <w:sz w:val="24"/>
                <w:szCs w:val="24"/>
              </w:rPr>
              <w:t xml:space="preserve"> month’s prior written notice or by giving </w:t>
            </w:r>
            <w:r w:rsidR="00423B93">
              <w:rPr>
                <w:rFonts w:asciiTheme="majorHAnsi" w:hAnsiTheme="majorHAnsi"/>
                <w:sz w:val="24"/>
                <w:szCs w:val="24"/>
              </w:rPr>
              <w:t>two</w:t>
            </w:r>
            <w:r w:rsidRPr="00331607">
              <w:rPr>
                <w:rFonts w:asciiTheme="majorHAnsi" w:hAnsiTheme="majorHAnsi"/>
                <w:sz w:val="24"/>
                <w:szCs w:val="24"/>
              </w:rPr>
              <w:t xml:space="preserve"> month’s salary in lieu of written notice.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   You commit any serious or repeated or continual breach of any of your obligations under this Agreement or as set out in the policies and procedures of the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w:t>
            </w:r>
            <w:r w:rsidRPr="00331607">
              <w:rPr>
                <w:rFonts w:asciiTheme="majorHAnsi" w:hAnsiTheme="majorHAnsi"/>
                <w:sz w:val="24"/>
                <w:szCs w:val="24"/>
              </w:rPr>
              <w:lastRenderedPageBreak/>
              <w:t>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Signature</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t>Waiver</w:t>
            </w:r>
          </w:p>
          <w:p w:rsidR="00B827C9" w:rsidRPr="00331607" w:rsidRDefault="00B827C9" w:rsidP="00C8437D">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B827C9" w:rsidRPr="00331607" w:rsidTr="00C8437D">
        <w:tc>
          <w:tcPr>
            <w:tcW w:w="2070" w:type="dxa"/>
            <w:shd w:val="clear" w:color="auto" w:fill="auto"/>
          </w:tcPr>
          <w:p w:rsidR="00B827C9" w:rsidRPr="00331607" w:rsidRDefault="00B827C9" w:rsidP="00C8437D">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Severability</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B827C9" w:rsidRPr="00331607" w:rsidTr="00C8437D">
        <w:tc>
          <w:tcPr>
            <w:tcW w:w="2070" w:type="dxa"/>
            <w:shd w:val="clear" w:color="auto" w:fill="auto"/>
          </w:tcPr>
          <w:p w:rsidR="00B827C9" w:rsidRPr="00331607" w:rsidRDefault="00B827C9" w:rsidP="00C8437D">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Attorneys’ Fees</w:t>
            </w:r>
          </w:p>
          <w:p w:rsidR="00B827C9" w:rsidRPr="00331607" w:rsidRDefault="00B827C9" w:rsidP="00C8437D">
            <w:pPr>
              <w:jc w:val="both"/>
              <w:rPr>
                <w:rFonts w:asciiTheme="majorHAnsi" w:eastAsia="Times New Roman" w:hAnsiTheme="majorHAnsi" w:cs="Arial"/>
                <w:b/>
                <w:color w:val="000000"/>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fees, court costs and expert witness fees.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b/>
                <w:sz w:val="24"/>
                <w:szCs w:val="24"/>
              </w:rPr>
              <w:t>Notices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Any and all notices, demands, or other communications required or desired to be given hereunder by any party shall be in writing and shall be validly given or made to another party if: (a) sent by facsimile, (b) personally served, (c) sent by common carrier (e.g., </w:t>
            </w:r>
            <w:r w:rsidRPr="00331607">
              <w:rPr>
                <w:rFonts w:asciiTheme="majorHAnsi" w:hAnsiTheme="majorHAnsi" w:cs="Arial"/>
                <w:sz w:val="24"/>
                <w:szCs w:val="24"/>
              </w:rPr>
              <w:lastRenderedPageBreak/>
              <w:t>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3F39FC" w:rsidRPr="003F39FC" w:rsidRDefault="003F39FC" w:rsidP="00C8437D">
            <w:pPr>
              <w:jc w:val="both"/>
              <w:rPr>
                <w:rFonts w:asciiTheme="majorHAnsi" w:hAnsiTheme="majorHAnsi" w:cs="Arial"/>
                <w:sz w:val="24"/>
                <w:szCs w:val="24"/>
              </w:rPr>
            </w:pPr>
          </w:p>
          <w:tbl>
            <w:tblPr>
              <w:tblW w:w="5000" w:type="pct"/>
              <w:jc w:val="center"/>
              <w:tblLook w:val="01E0"/>
            </w:tblPr>
            <w:tblGrid>
              <w:gridCol w:w="2677"/>
              <w:gridCol w:w="4145"/>
            </w:tblGrid>
            <w:tr w:rsidR="00B827C9" w:rsidRPr="00222310" w:rsidTr="00C8437D">
              <w:trPr>
                <w:trHeight w:val="1269"/>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592741" w:rsidRPr="00E6393C" w:rsidRDefault="00592741" w:rsidP="0009010C">
                  <w:pPr>
                    <w:spacing w:after="0"/>
                    <w:jc w:val="both"/>
                    <w:rPr>
                      <w:rFonts w:asciiTheme="majorHAnsi" w:hAnsiTheme="majorHAnsi"/>
                      <w:sz w:val="24"/>
                      <w:szCs w:val="24"/>
                    </w:rPr>
                  </w:pPr>
                  <w:r w:rsidRPr="00E6393C">
                    <w:rPr>
                      <w:rFonts w:asciiTheme="majorHAnsi" w:hAnsiTheme="majorHAnsi" w:cs="Arial"/>
                      <w:color w:val="222222"/>
                      <w:sz w:val="24"/>
                      <w:szCs w:val="24"/>
                      <w:shd w:val="clear" w:color="auto" w:fill="FFFFFF"/>
                    </w:rPr>
                    <w:t>Preeti Chanyal </w:t>
                  </w:r>
                </w:p>
                <w:p w:rsidR="00E6393C" w:rsidRPr="00E6393C" w:rsidRDefault="00E6393C" w:rsidP="00E6393C">
                  <w:pPr>
                    <w:pStyle w:val="Default"/>
                    <w:rPr>
                      <w:rFonts w:asciiTheme="majorHAnsi" w:hAnsiTheme="majorHAnsi" w:cs="Calibri"/>
                    </w:rPr>
                  </w:pPr>
                  <w:r w:rsidRPr="00E6393C">
                    <w:rPr>
                      <w:rFonts w:asciiTheme="majorHAnsi" w:hAnsiTheme="majorHAnsi" w:cs="Calibri"/>
                    </w:rPr>
                    <w:t>House No. 44-A, Dinarpur</w:t>
                  </w:r>
                </w:p>
                <w:p w:rsidR="00E6393C" w:rsidRPr="00E6393C" w:rsidRDefault="00E6393C" w:rsidP="00E6393C">
                  <w:pPr>
                    <w:pStyle w:val="Default"/>
                    <w:rPr>
                      <w:rFonts w:asciiTheme="majorHAnsi" w:hAnsiTheme="majorHAnsi" w:cs="Calibri"/>
                    </w:rPr>
                  </w:pPr>
                  <w:r w:rsidRPr="00E6393C">
                    <w:rPr>
                      <w:rFonts w:asciiTheme="majorHAnsi" w:hAnsiTheme="majorHAnsi" w:cs="Calibri"/>
                    </w:rPr>
                    <w:t>Subhash Garh</w:t>
                  </w:r>
                </w:p>
                <w:p w:rsidR="00E6393C" w:rsidRDefault="00E6393C" w:rsidP="00E6393C">
                  <w:pPr>
                    <w:pStyle w:val="Default"/>
                    <w:rPr>
                      <w:rFonts w:asciiTheme="majorHAnsi" w:hAnsiTheme="majorHAnsi" w:cs="Calibri"/>
                    </w:rPr>
                  </w:pPr>
                  <w:r w:rsidRPr="00E6393C">
                    <w:rPr>
                      <w:rFonts w:asciiTheme="majorHAnsi" w:hAnsiTheme="majorHAnsi" w:cs="Calibri"/>
                    </w:rPr>
                    <w:t>Haridwar, Uttarakhand – 247663</w:t>
                  </w:r>
                </w:p>
                <w:p w:rsidR="00592741" w:rsidRPr="00E6393C" w:rsidRDefault="00E6393C" w:rsidP="00E6393C">
                  <w:pPr>
                    <w:pStyle w:val="Default"/>
                    <w:rPr>
                      <w:rFonts w:asciiTheme="majorHAnsi" w:hAnsiTheme="majorHAnsi" w:cs="Calibri"/>
                    </w:rPr>
                  </w:pPr>
                  <w:r w:rsidRPr="00E6393C">
                    <w:rPr>
                      <w:rFonts w:asciiTheme="majorHAnsi" w:hAnsiTheme="majorHAnsi" w:cs="Calibri"/>
                    </w:rPr>
                    <w:t>India</w:t>
                  </w:r>
                </w:p>
                <w:p w:rsidR="00B827C9" w:rsidRPr="00E6393C" w:rsidRDefault="00B827C9" w:rsidP="00C8437D">
                  <w:pPr>
                    <w:spacing w:after="0"/>
                    <w:jc w:val="both"/>
                    <w:rPr>
                      <w:rFonts w:asciiTheme="majorHAnsi" w:hAnsiTheme="majorHAnsi"/>
                      <w:sz w:val="24"/>
                      <w:szCs w:val="24"/>
                    </w:rPr>
                  </w:pPr>
                  <w:r w:rsidRPr="00E6393C">
                    <w:rPr>
                      <w:rFonts w:asciiTheme="majorHAnsi" w:hAnsiTheme="majorHAnsi"/>
                      <w:sz w:val="24"/>
                      <w:szCs w:val="24"/>
                    </w:rPr>
                    <w:t xml:space="preserve">Phone: </w:t>
                  </w:r>
                  <w:r w:rsidR="0009010C" w:rsidRPr="00E6393C">
                    <w:rPr>
                      <w:rFonts w:asciiTheme="majorHAnsi" w:eastAsia="Times New Roman" w:hAnsiTheme="majorHAnsi" w:cs="Calibri"/>
                      <w:color w:val="000000"/>
                      <w:sz w:val="24"/>
                      <w:szCs w:val="24"/>
                    </w:rPr>
                    <w:t xml:space="preserve">+91 </w:t>
                  </w:r>
                  <w:r w:rsidR="00E6393C" w:rsidRPr="00E6393C">
                    <w:rPr>
                      <w:rFonts w:asciiTheme="majorHAnsi" w:eastAsia="Times New Roman" w:hAnsiTheme="majorHAnsi" w:cs="Calibri"/>
                      <w:color w:val="000000"/>
                      <w:sz w:val="24"/>
                      <w:szCs w:val="24"/>
                    </w:rPr>
                    <w:t>8126798108</w:t>
                  </w:r>
                </w:p>
                <w:p w:rsidR="00B827C9" w:rsidRDefault="00B827C9" w:rsidP="00C8437D">
                  <w:pPr>
                    <w:spacing w:after="0"/>
                    <w:jc w:val="both"/>
                    <w:rPr>
                      <w:rFonts w:asciiTheme="majorHAnsi" w:hAnsiTheme="majorHAnsi"/>
                      <w:sz w:val="24"/>
                      <w:szCs w:val="24"/>
                    </w:rPr>
                  </w:pPr>
                  <w:r w:rsidRPr="00E6393C">
                    <w:rPr>
                      <w:rFonts w:asciiTheme="majorHAnsi" w:hAnsiTheme="majorHAnsi"/>
                      <w:sz w:val="24"/>
                      <w:szCs w:val="24"/>
                    </w:rPr>
                    <w:t>Email:</w:t>
                  </w:r>
                  <w:r w:rsidR="00E91005" w:rsidRPr="00E6393C">
                    <w:rPr>
                      <w:rFonts w:asciiTheme="majorHAnsi" w:hAnsiTheme="majorHAnsi"/>
                      <w:sz w:val="24"/>
                      <w:szCs w:val="24"/>
                    </w:rPr>
                    <w:t xml:space="preserve"> </w:t>
                  </w:r>
                  <w:hyperlink r:id="rId7" w:history="1">
                    <w:r w:rsidR="00E6393C" w:rsidRPr="00D04E33">
                      <w:rPr>
                        <w:rStyle w:val="Hyperlink"/>
                        <w:rFonts w:asciiTheme="majorHAnsi" w:hAnsiTheme="majorHAnsi"/>
                        <w:sz w:val="24"/>
                        <w:szCs w:val="24"/>
                      </w:rPr>
                      <w:t>preeti.hrdwr082@gmail.com</w:t>
                    </w:r>
                  </w:hyperlink>
                </w:p>
                <w:p w:rsidR="00E6393C" w:rsidRPr="00E6393C" w:rsidRDefault="00E6393C"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tc>
            </w:tr>
            <w:tr w:rsidR="00B827C9" w:rsidRPr="00331607" w:rsidTr="00C8437D">
              <w:trPr>
                <w:trHeight w:val="2870"/>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B827C9" w:rsidRPr="00126B57" w:rsidRDefault="00B827C9" w:rsidP="00126B57">
                  <w:pPr>
                    <w:pStyle w:val="NoSpacing"/>
                    <w:rPr>
                      <w:rFonts w:ascii="Cambria" w:hAnsi="Cambria"/>
                      <w:sz w:val="24"/>
                      <w:szCs w:val="24"/>
                    </w:rPr>
                  </w:pPr>
                  <w:r w:rsidRPr="00126B57">
                    <w:rPr>
                      <w:rFonts w:ascii="Cambria" w:hAnsi="Cambria"/>
                      <w:sz w:val="24"/>
                      <w:szCs w:val="24"/>
                    </w:rPr>
                    <w:t>QUALITY HEALTHCARE ACCESS PRIVATE LIMITED</w:t>
                  </w:r>
                </w:p>
                <w:p w:rsidR="00B827C9" w:rsidRPr="00126B57" w:rsidRDefault="00B827C9" w:rsidP="00126B57">
                  <w:pPr>
                    <w:pStyle w:val="NoSpacing"/>
                    <w:rPr>
                      <w:rFonts w:ascii="Cambria" w:hAnsi="Cambria"/>
                      <w:sz w:val="24"/>
                      <w:szCs w:val="24"/>
                    </w:rPr>
                  </w:pPr>
                  <w:r w:rsidRPr="00126B57">
                    <w:rPr>
                      <w:rFonts w:ascii="Cambria" w:hAnsi="Cambria"/>
                      <w:sz w:val="24"/>
                      <w:szCs w:val="24"/>
                    </w:rPr>
                    <w:t>At the registered office as per MCA web site.  Present address is:</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Flat no 217, 2nd floor, Antariksh Bhawan, Kasturba Gandhi Marg</w:t>
                  </w:r>
                  <w:r>
                    <w:rPr>
                      <w:rFonts w:asciiTheme="majorHAnsi" w:hAnsiTheme="majorHAnsi" w:cs="Arial"/>
                      <w:sz w:val="24"/>
                      <w:szCs w:val="24"/>
                    </w:rPr>
                    <w:t xml:space="preserve"> </w:t>
                  </w:r>
                  <w:r w:rsidRPr="00097EE1">
                    <w:rPr>
                      <w:rFonts w:asciiTheme="majorHAnsi" w:hAnsiTheme="majorHAnsi" w:cs="Arial"/>
                      <w:sz w:val="24"/>
                      <w:szCs w:val="24"/>
                    </w:rPr>
                    <w:t>Connaught Place</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B827C9" w:rsidRPr="00331607" w:rsidRDefault="00B827C9" w:rsidP="00C8437D">
                  <w:pPr>
                    <w:pStyle w:val="NoSpacing"/>
                    <w:jc w:val="both"/>
                    <w:rPr>
                      <w:rFonts w:asciiTheme="majorHAnsi" w:hAnsiTheme="majorHAnsi"/>
                      <w:sz w:val="24"/>
                      <w:szCs w:val="24"/>
                    </w:rPr>
                  </w:pPr>
                </w:p>
                <w:p w:rsidR="00B827C9" w:rsidRPr="00331607" w:rsidRDefault="00B827C9" w:rsidP="00C8437D">
                  <w:pPr>
                    <w:keepNext/>
                    <w:keepLines/>
                    <w:numPr>
                      <w:ilvl w:val="12"/>
                      <w:numId w:val="0"/>
                    </w:numPr>
                    <w:jc w:val="both"/>
                    <w:rPr>
                      <w:rFonts w:asciiTheme="majorHAnsi" w:hAnsiTheme="majorHAnsi" w:cs="Arial"/>
                      <w:strike/>
                      <w:sz w:val="24"/>
                      <w:szCs w:val="24"/>
                    </w:rPr>
                  </w:pPr>
                </w:p>
              </w:tc>
            </w:tr>
          </w:tbl>
          <w:p w:rsidR="00B827C9" w:rsidRPr="00331607" w:rsidRDefault="00B827C9" w:rsidP="00C8437D">
            <w:pPr>
              <w:numPr>
                <w:ilvl w:val="12"/>
                <w:numId w:val="0"/>
              </w:numPr>
              <w:jc w:val="both"/>
              <w:rPr>
                <w:rFonts w:asciiTheme="majorHAnsi" w:hAnsiTheme="majorHAnsi" w:cs="Arial"/>
                <w:sz w:val="24"/>
                <w:szCs w:val="24"/>
              </w:rPr>
            </w:pPr>
            <w:r w:rsidRPr="00331607">
              <w:rPr>
                <w:rFonts w:asciiTheme="majorHAnsi" w:hAnsiTheme="majorHAnsi" w:cs="Arial"/>
                <w:sz w:val="24"/>
                <w:szCs w:val="24"/>
              </w:rPr>
              <w:t>Any party hereto may change its address or fax number for purposes of this paragraph by written notice given in the manner provided above.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This Agreement may be executed in counterparts, each of which shall be deemed an original, but all of which together shall </w:t>
            </w:r>
            <w:r w:rsidRPr="00331607">
              <w:rPr>
                <w:rFonts w:asciiTheme="majorHAnsi" w:hAnsiTheme="majorHAnsi" w:cs="Arial"/>
                <w:sz w:val="24"/>
                <w:szCs w:val="24"/>
              </w:rPr>
              <w:lastRenderedPageBreak/>
              <w:t>constitute one and the same instrument.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lastRenderedPageBreak/>
              <w:t>Scope and Nature of this Agreement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B827C9" w:rsidRPr="00331607" w:rsidRDefault="00B827C9" w:rsidP="00C8437D">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B827C9" w:rsidRPr="00331607" w:rsidTr="00C8437D">
        <w:tc>
          <w:tcPr>
            <w:tcW w:w="2070" w:type="dxa"/>
            <w:shd w:val="clear" w:color="auto" w:fill="auto"/>
          </w:tcPr>
          <w:p w:rsidR="00B827C9" w:rsidRPr="00331607" w:rsidRDefault="00B827C9" w:rsidP="00C8437D">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B827C9" w:rsidRPr="00331607" w:rsidRDefault="00B827C9" w:rsidP="00C8437D">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Any dispute arising under this Agreement or any matter incidental thereto, shall be submitted for arbitration to an advocate who shall be appointed by the employer.  The decision of the advocate shall be final and binding to employer and employee.</w:t>
            </w:r>
          </w:p>
        </w:tc>
      </w:tr>
    </w:tbl>
    <w:p w:rsidR="00B827C9" w:rsidRPr="00331607" w:rsidRDefault="00B827C9" w:rsidP="00B827C9">
      <w:pPr>
        <w:jc w:val="both"/>
        <w:rPr>
          <w:b/>
          <w:sz w:val="24"/>
          <w:szCs w:val="24"/>
          <w:u w:val="single"/>
        </w:rPr>
      </w:pPr>
      <w:r w:rsidRPr="00331607">
        <w:rPr>
          <w:sz w:val="24"/>
          <w:szCs w:val="24"/>
        </w:rPr>
        <w:br w:type="page"/>
      </w:r>
      <w:r w:rsidRPr="00331607">
        <w:rPr>
          <w:rFonts w:asciiTheme="majorHAnsi" w:hAnsiTheme="majorHAnsi"/>
          <w:b/>
          <w:sz w:val="24"/>
          <w:szCs w:val="24"/>
        </w:rPr>
        <w:lastRenderedPageBreak/>
        <w:t>Schedule B</w:t>
      </w:r>
    </w:p>
    <w:p w:rsidR="00B827C9" w:rsidRPr="00331607" w:rsidRDefault="00B827C9" w:rsidP="00B827C9">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034CE8" w:rsidRPr="00264758" w:rsidRDefault="00B827C9" w:rsidP="00B827C9">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sidR="00CD23DA" w:rsidRPr="00CD23DA">
        <w:rPr>
          <w:rFonts w:asciiTheme="majorHAnsi" w:hAnsiTheme="majorHAnsi"/>
          <w:sz w:val="24"/>
          <w:szCs w:val="24"/>
        </w:rPr>
        <w:t>Technical Specialist (Digital Health)</w:t>
      </w:r>
    </w:p>
    <w:p w:rsidR="00CD23DA" w:rsidRPr="00CD23DA" w:rsidRDefault="00B827C9" w:rsidP="00CD23DA">
      <w:pPr>
        <w:pStyle w:val="NormalWeb"/>
        <w:spacing w:before="0" w:beforeAutospacing="0" w:after="0" w:afterAutospacing="0"/>
        <w:rPr>
          <w:rFonts w:asciiTheme="majorHAnsi" w:hAnsiTheme="majorHAnsi" w:cstheme="minorBidi"/>
          <w:bCs/>
        </w:rPr>
      </w:pPr>
      <w:r w:rsidRPr="00264758">
        <w:rPr>
          <w:rFonts w:asciiTheme="majorHAnsi" w:hAnsiTheme="majorHAnsi" w:cs="Arial"/>
          <w:b/>
        </w:rPr>
        <w:t xml:space="preserve">Location: </w:t>
      </w:r>
      <w:r w:rsidR="00CD23DA" w:rsidRPr="00CD23DA">
        <w:rPr>
          <w:rFonts w:asciiTheme="majorHAnsi" w:hAnsiTheme="majorHAnsi" w:cstheme="minorBidi"/>
        </w:rPr>
        <w:t>Frequent visit at Onsite (Delhi)/ mostly Offsite</w:t>
      </w:r>
    </w:p>
    <w:p w:rsidR="00CD23DA" w:rsidRPr="00957591" w:rsidRDefault="00CD23DA" w:rsidP="00957591">
      <w:pPr>
        <w:spacing w:after="0"/>
        <w:rPr>
          <w:rFonts w:ascii="Times New Roman" w:hAnsi="Times New Roman" w:cs="Times New Roman"/>
        </w:rPr>
      </w:pPr>
    </w:p>
    <w:p w:rsidR="00B827C9" w:rsidRPr="00945577" w:rsidRDefault="00B827C9" w:rsidP="00945577">
      <w:pPr>
        <w:rPr>
          <w:rFonts w:asciiTheme="majorHAnsi" w:hAnsiTheme="majorHAnsi" w:cs="Arial"/>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CD23DA" w:rsidRPr="00CD23DA">
        <w:rPr>
          <w:rFonts w:ascii="Cambria" w:hAnsi="Cambria" w:cs="Arial"/>
          <w:sz w:val="24"/>
          <w:szCs w:val="24"/>
          <w:shd w:val="clear" w:color="auto" w:fill="FFFFFF"/>
        </w:rPr>
        <w:t>Technical Head, Digital Health</w:t>
      </w:r>
    </w:p>
    <w:p w:rsidR="00B827C9" w:rsidRPr="007A399E" w:rsidRDefault="007A399E" w:rsidP="007A399E">
      <w:pPr>
        <w:jc w:val="both"/>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xml:space="preserve">: </w:t>
      </w:r>
      <w:r w:rsidR="00FC0131">
        <w:rPr>
          <w:rFonts w:asciiTheme="majorHAnsi" w:hAnsiTheme="majorHAnsi" w:cs="Arial"/>
          <w:sz w:val="24"/>
          <w:szCs w:val="24"/>
        </w:rPr>
        <w:t>M</w:t>
      </w:r>
      <w:r w:rsidR="00CD23DA">
        <w:rPr>
          <w:rFonts w:asciiTheme="majorHAnsi" w:hAnsiTheme="majorHAnsi" w:cs="Arial"/>
          <w:sz w:val="24"/>
          <w:szCs w:val="24"/>
        </w:rPr>
        <w:t>3</w:t>
      </w:r>
    </w:p>
    <w:p w:rsidR="00B827C9" w:rsidRDefault="00B827C9" w:rsidP="00B827C9">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A03256" w:rsidRPr="00331607" w:rsidRDefault="00A03256" w:rsidP="00B827C9">
      <w:pPr>
        <w:pStyle w:val="NoSpacing"/>
        <w:jc w:val="both"/>
        <w:rPr>
          <w:rFonts w:asciiTheme="majorHAnsi" w:hAnsiTheme="majorHAnsi" w:cs="Arial"/>
          <w:b/>
          <w:bCs/>
          <w:kern w:val="32"/>
          <w:sz w:val="24"/>
          <w:szCs w:val="24"/>
        </w:rPr>
      </w:pPr>
    </w:p>
    <w:p w:rsidR="002019CD" w:rsidRPr="002019CD" w:rsidRDefault="00CD23DA" w:rsidP="002019CD">
      <w:pPr>
        <w:rPr>
          <w:rFonts w:asciiTheme="majorHAnsi" w:hAnsiTheme="majorHAnsi" w:cs="Times New Roman"/>
          <w:sz w:val="24"/>
          <w:szCs w:val="24"/>
        </w:rPr>
      </w:pPr>
      <w:r w:rsidRPr="002019CD">
        <w:rPr>
          <w:rFonts w:asciiTheme="majorHAnsi" w:hAnsiTheme="majorHAnsi" w:cs="Times New Roman"/>
          <w:b/>
          <w:sz w:val="24"/>
          <w:szCs w:val="24"/>
        </w:rPr>
        <w:t xml:space="preserve">Key </w:t>
      </w:r>
      <w:r>
        <w:rPr>
          <w:rFonts w:asciiTheme="majorHAnsi" w:hAnsiTheme="majorHAnsi" w:cs="Times New Roman"/>
          <w:b/>
          <w:sz w:val="24"/>
          <w:szCs w:val="24"/>
        </w:rPr>
        <w:t>R</w:t>
      </w:r>
      <w:r w:rsidRPr="002019CD">
        <w:rPr>
          <w:rFonts w:asciiTheme="majorHAnsi" w:hAnsiTheme="majorHAnsi" w:cs="Times New Roman"/>
          <w:b/>
          <w:sz w:val="24"/>
          <w:szCs w:val="24"/>
        </w:rPr>
        <w:t>esponsibilities</w:t>
      </w:r>
      <w:r w:rsidR="002019CD" w:rsidRPr="002019CD">
        <w:rPr>
          <w:rFonts w:asciiTheme="majorHAnsi" w:hAnsiTheme="majorHAnsi" w:cs="Times New Roman"/>
          <w:b/>
          <w:sz w:val="24"/>
          <w:szCs w:val="24"/>
        </w:rPr>
        <w:t>:</w:t>
      </w:r>
    </w:p>
    <w:p w:rsidR="00CD23DA" w:rsidRPr="00CD23DA" w:rsidRDefault="00CD23DA" w:rsidP="00CD23DA">
      <w:pPr>
        <w:jc w:val="both"/>
        <w:rPr>
          <w:rFonts w:ascii="Cambria" w:hAnsi="Cambria" w:cs="Arial"/>
          <w:sz w:val="24"/>
          <w:szCs w:val="24"/>
        </w:rPr>
      </w:pPr>
      <w:r w:rsidRPr="00CD23DA">
        <w:rPr>
          <w:rStyle w:val="Strong"/>
          <w:rFonts w:ascii="Cambria" w:hAnsi="Cambria" w:cs="Arial"/>
          <w:b w:val="0"/>
          <w:sz w:val="24"/>
          <w:szCs w:val="24"/>
        </w:rPr>
        <w:t xml:space="preserve">The </w:t>
      </w:r>
      <w:r w:rsidRPr="00CD23DA">
        <w:rPr>
          <w:rFonts w:ascii="Cambria" w:hAnsi="Cambria"/>
          <w:sz w:val="24"/>
          <w:szCs w:val="24"/>
        </w:rPr>
        <w:t>Technical Specialist (Digital Health)</w:t>
      </w:r>
      <w:r w:rsidRPr="00CD23DA">
        <w:rPr>
          <w:rStyle w:val="Strong"/>
          <w:rFonts w:ascii="Cambria" w:hAnsi="Cambria" w:cs="Arial"/>
          <w:b w:val="0"/>
          <w:sz w:val="24"/>
          <w:szCs w:val="24"/>
        </w:rPr>
        <w:t xml:space="preserve"> will be required to deliver on the following:</w:t>
      </w: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r w:rsidRPr="00CD23DA">
        <w:rPr>
          <w:rFonts w:ascii="Cambria" w:eastAsia="Times New Roman" w:hAnsi="Cambria" w:cs="Arial"/>
          <w:color w:val="000000"/>
          <w:lang w:val="en-IN" w:eastAsia="en-IN"/>
        </w:rPr>
        <w:t>Backend Development using spring reactive, spring boot and hibernate technologies</w:t>
      </w: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r w:rsidRPr="00CD23DA">
        <w:rPr>
          <w:rFonts w:ascii="Cambria" w:eastAsia="Times New Roman" w:hAnsi="Cambria" w:cs="Arial"/>
          <w:color w:val="000000"/>
          <w:lang w:val="en-IN" w:eastAsia="en-IN"/>
        </w:rPr>
        <w:t>Development of Reporting API (using BIRT) for integration of dashboards with javascript frontend</w:t>
      </w: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r w:rsidRPr="00CD23DA">
        <w:rPr>
          <w:rFonts w:ascii="Cambria" w:eastAsia="Times New Roman" w:hAnsi="Cambria" w:cs="Arial"/>
          <w:color w:val="000000"/>
          <w:lang w:val="en-IN" w:eastAsia="en-IN"/>
        </w:rPr>
        <w:t>Development of asynchronous and synchronous REST APIs using spring java backend</w:t>
      </w: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r w:rsidRPr="00CD23DA">
        <w:rPr>
          <w:rFonts w:ascii="Cambria" w:eastAsia="Times New Roman" w:hAnsi="Cambria" w:cs="Arial"/>
          <w:color w:val="000000"/>
          <w:lang w:val="en-IN" w:eastAsia="en-IN"/>
        </w:rPr>
        <w:t>Development of Openapi specifications for API developed.</w:t>
      </w: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p>
    <w:p w:rsidR="00CD23DA" w:rsidRPr="00CD23DA" w:rsidRDefault="00CD23DA" w:rsidP="00CD23DA">
      <w:pPr>
        <w:pStyle w:val="NormalWeb"/>
        <w:spacing w:before="0" w:beforeAutospacing="0" w:after="0" w:afterAutospacing="0"/>
        <w:rPr>
          <w:rFonts w:ascii="Cambria" w:eastAsia="Times New Roman" w:hAnsi="Cambria" w:cs="Arial"/>
          <w:color w:val="000000"/>
          <w:lang w:val="en-IN" w:eastAsia="en-IN"/>
        </w:rPr>
      </w:pPr>
      <w:r w:rsidRPr="00CD23DA">
        <w:rPr>
          <w:rFonts w:ascii="Cambria" w:eastAsia="Times New Roman" w:hAnsi="Cambria" w:cs="Arial"/>
          <w:color w:val="000000"/>
          <w:lang w:val="en-IN" w:eastAsia="en-IN"/>
        </w:rPr>
        <w:t>Developing modules using event driven asynchronous technologies (spring reactive , KAFKA, RabbitMQ)</w:t>
      </w:r>
    </w:p>
    <w:p w:rsidR="00B827C9" w:rsidRPr="00CD23DA" w:rsidRDefault="00B827C9" w:rsidP="00B827C9">
      <w:pPr>
        <w:jc w:val="both"/>
        <w:rPr>
          <w:rFonts w:ascii="Cambria" w:hAnsi="Cambria"/>
          <w:bCs/>
          <w:sz w:val="24"/>
          <w:szCs w:val="24"/>
        </w:rPr>
      </w:pPr>
    </w:p>
    <w:p w:rsidR="00CD23DA" w:rsidRPr="00CD23DA" w:rsidRDefault="00CD23DA" w:rsidP="00B827C9">
      <w:pPr>
        <w:jc w:val="both"/>
        <w:rPr>
          <w:rFonts w:ascii="Cambria" w:hAnsi="Cambria"/>
          <w:bCs/>
          <w:sz w:val="24"/>
          <w:szCs w:val="24"/>
        </w:rPr>
      </w:pPr>
    </w:p>
    <w:p w:rsidR="00CD23DA" w:rsidRPr="00CD23DA" w:rsidRDefault="00CD23DA" w:rsidP="00B827C9">
      <w:pPr>
        <w:jc w:val="both"/>
        <w:rPr>
          <w:rFonts w:ascii="Cambria" w:hAnsi="Cambria"/>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lastRenderedPageBreak/>
        <w:t>Schedule C</w:t>
      </w: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Employee Covenants</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shall, both during and after the Engagement, keep all Confidential Information and Proprietary Property confidential and shall not use any of it except for the purpose of carrying out authorized activities on </w:t>
      </w:r>
      <w:r w:rsidRPr="00331607">
        <w:rPr>
          <w:rFonts w:asciiTheme="majorHAnsi" w:hAnsiTheme="majorHAnsi"/>
          <w:sz w:val="24"/>
          <w:szCs w:val="24"/>
        </w:rPr>
        <w:lastRenderedPageBreak/>
        <w:t>behalf of the Company. The Participant may, however, use or disclose Confidential Information which:</w:t>
      </w:r>
    </w:p>
    <w:p w:rsidR="00B827C9" w:rsidRPr="00331607" w:rsidRDefault="00B827C9" w:rsidP="00B827C9">
      <w:pPr>
        <w:pStyle w:val="BodyTextIndent"/>
        <w:numPr>
          <w:ilvl w:val="0"/>
          <w:numId w:val="2"/>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B827C9" w:rsidRPr="00331607" w:rsidRDefault="00B827C9" w:rsidP="00B827C9">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B827C9" w:rsidRPr="00331607" w:rsidRDefault="00B827C9" w:rsidP="00B827C9">
      <w:pPr>
        <w:pStyle w:val="BodyTextIndent2"/>
        <w:numPr>
          <w:ilvl w:val="0"/>
          <w:numId w:val="2"/>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B827C9" w:rsidRPr="00331607" w:rsidRDefault="00B827C9" w:rsidP="00B827C9">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Court or government tribunal or other legal process, provided that Participant informs the Company of such requirement in sufficient time to allow the Company to avoid such disclosure by the Participant.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B827C9" w:rsidRPr="00331607" w:rsidRDefault="00B827C9" w:rsidP="00B827C9">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B827C9" w:rsidRPr="00331607" w:rsidRDefault="00B827C9" w:rsidP="00B827C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B827C9" w:rsidRPr="00331607" w:rsidRDefault="00B827C9" w:rsidP="00B827C9">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B827C9" w:rsidRPr="00331607" w:rsidRDefault="00B827C9" w:rsidP="00B827C9">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agrees that the Participant will, if requested from time to time by the Company, execute such further reasonable agreements as to confidentiality and proprietary rights as the Company’s customers or </w:t>
      </w:r>
      <w:r w:rsidRPr="00331607">
        <w:rPr>
          <w:rFonts w:asciiTheme="majorHAnsi" w:hAnsiTheme="majorHAnsi"/>
          <w:sz w:val="24"/>
          <w:szCs w:val="24"/>
        </w:rPr>
        <w:lastRenderedPageBreak/>
        <w:t xml:space="preserve">suppliers reasonably required to protect Confidential Information or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 in any injunction action, application or motion brought against the Participant by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6A7AA3">
        <w:rPr>
          <w:rFonts w:asciiTheme="majorHAnsi" w:hAnsiTheme="majorHAnsi"/>
          <w:sz w:val="24"/>
          <w:szCs w:val="24"/>
        </w:rPr>
        <w:t>8</w:t>
      </w:r>
      <w:r w:rsidR="002A6684" w:rsidRPr="002A6684">
        <w:rPr>
          <w:rFonts w:asciiTheme="majorHAnsi" w:hAnsiTheme="majorHAnsi"/>
          <w:sz w:val="24"/>
          <w:szCs w:val="24"/>
          <w:vertAlign w:val="superscript"/>
        </w:rPr>
        <w:t>th</w:t>
      </w:r>
      <w:r w:rsidR="002A6684">
        <w:rPr>
          <w:rFonts w:asciiTheme="majorHAnsi" w:hAnsiTheme="majorHAnsi"/>
          <w:sz w:val="24"/>
          <w:szCs w:val="24"/>
        </w:rPr>
        <w:t xml:space="preserve"> day</w:t>
      </w:r>
      <w:r w:rsidRPr="00331607">
        <w:rPr>
          <w:rFonts w:asciiTheme="majorHAnsi" w:hAnsiTheme="majorHAnsi"/>
          <w:sz w:val="24"/>
          <w:szCs w:val="24"/>
        </w:rPr>
        <w:t xml:space="preserve"> of </w:t>
      </w:r>
      <w:r w:rsidR="006A7AA3">
        <w:rPr>
          <w:rFonts w:asciiTheme="majorHAnsi" w:hAnsiTheme="majorHAnsi"/>
          <w:sz w:val="24"/>
          <w:szCs w:val="24"/>
        </w:rPr>
        <w:t>December</w:t>
      </w:r>
      <w:r w:rsidRPr="00331607">
        <w:rPr>
          <w:rFonts w:asciiTheme="majorHAnsi" w:hAnsiTheme="majorHAnsi"/>
          <w:sz w:val="24"/>
          <w:szCs w:val="24"/>
        </w:rPr>
        <w:t xml:space="preserve"> 202</w:t>
      </w:r>
      <w:r>
        <w:rPr>
          <w:rFonts w:asciiTheme="majorHAnsi" w:hAnsiTheme="majorHAnsi"/>
          <w:sz w:val="24"/>
          <w:szCs w:val="24"/>
        </w:rPr>
        <w:t>2</w:t>
      </w:r>
      <w:r w:rsidRPr="00331607">
        <w:rPr>
          <w:rFonts w:asciiTheme="majorHAnsi" w:hAnsiTheme="majorHAnsi"/>
          <w:sz w:val="24"/>
          <w:szCs w:val="24"/>
        </w:rPr>
        <w: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046"/>
        <w:gridCol w:w="4100"/>
        <w:gridCol w:w="1023"/>
        <w:gridCol w:w="4102"/>
      </w:tblGrid>
      <w:tr w:rsidR="00B827C9" w:rsidRPr="00331607" w:rsidTr="00C8437D">
        <w:trPr>
          <w:trHeight w:val="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D17CD0" w:rsidRPr="00D17CD0" w:rsidRDefault="00D17CD0" w:rsidP="00D17CD0">
            <w:pPr>
              <w:keepNext/>
              <w:keepLines/>
              <w:jc w:val="both"/>
              <w:rPr>
                <w:rFonts w:asciiTheme="majorHAnsi" w:hAnsiTheme="majorHAnsi" w:cs="Arial"/>
                <w:b/>
                <w:sz w:val="24"/>
                <w:szCs w:val="24"/>
              </w:rPr>
            </w:pPr>
            <w:r w:rsidRPr="00D17CD0">
              <w:rPr>
                <w:rFonts w:asciiTheme="majorHAnsi" w:hAnsiTheme="majorHAnsi" w:cs="Arial"/>
                <w:b/>
                <w:sz w:val="24"/>
                <w:szCs w:val="24"/>
              </w:rPr>
              <w:t>Preeti Chanyal</w:t>
            </w:r>
          </w:p>
          <w:p w:rsidR="00B827C9" w:rsidRPr="00126B57" w:rsidRDefault="00B827C9" w:rsidP="00126B57">
            <w:pPr>
              <w:keepNext/>
              <w:keepLines/>
              <w:jc w:val="both"/>
              <w:rPr>
                <w:rFonts w:asciiTheme="majorHAnsi" w:hAnsiTheme="majorHAnsi" w:cs="Arial"/>
                <w:b/>
                <w:sz w:val="24"/>
                <w:szCs w:val="24"/>
              </w:rPr>
            </w:pP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B827C9" w:rsidRPr="00331607" w:rsidRDefault="00B827C9" w:rsidP="00C8437D">
            <w:pPr>
              <w:keepNext/>
              <w:keepLines/>
              <w:jc w:val="both"/>
              <w:rPr>
                <w:rFonts w:asciiTheme="majorHAnsi" w:hAnsiTheme="majorHAnsi" w:cs="Arial"/>
                <w:b/>
                <w:sz w:val="24"/>
                <w:szCs w:val="24"/>
                <w:u w:val="single"/>
              </w:rPr>
            </w:pPr>
          </w:p>
        </w:tc>
        <w:tc>
          <w:tcPr>
            <w:tcW w:w="1997" w:type="pct"/>
            <w:shd w:val="clear" w:color="auto" w:fill="auto"/>
          </w:tcPr>
          <w:p w:rsidR="00B827C9" w:rsidRPr="00126B5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Dr. Krishna Reddy Nallamalla</w:t>
            </w:r>
          </w:p>
        </w:tc>
      </w:tr>
      <w:tr w:rsidR="00B827C9" w:rsidRPr="00331607" w:rsidTr="00C8437D">
        <w:trPr>
          <w:trHeight w:val="1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c>
          <w:tcPr>
            <w:tcW w:w="498"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126B57" w:rsidRDefault="00B827C9" w:rsidP="00C8437D">
            <w:pPr>
              <w:keepNext/>
              <w:keepLines/>
              <w:jc w:val="both"/>
              <w:rPr>
                <w:rFonts w:asciiTheme="majorHAnsi" w:hAnsiTheme="majorHAnsi" w:cs="Arial"/>
                <w:b/>
                <w:sz w:val="24"/>
                <w:szCs w:val="24"/>
              </w:rPr>
            </w:pPr>
          </w:p>
        </w:tc>
      </w:tr>
      <w:tr w:rsidR="00B827C9" w:rsidRPr="00331607" w:rsidTr="00C8437D">
        <w:trPr>
          <w:trHeight w:val="251"/>
        </w:trPr>
        <w:tc>
          <w:tcPr>
            <w:tcW w:w="509"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B827C9" w:rsidRPr="00331607" w:rsidRDefault="00B827C9" w:rsidP="00C8437D">
            <w:pPr>
              <w:keepNext/>
              <w:keepLines/>
              <w:jc w:val="both"/>
              <w:rPr>
                <w:rFonts w:asciiTheme="majorHAnsi" w:hAnsiTheme="majorHAnsi" w:cs="Arial"/>
                <w:b/>
                <w:sz w:val="24"/>
                <w:szCs w:val="24"/>
              </w:rPr>
            </w:pP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B827C9" w:rsidRPr="00331607" w:rsidRDefault="00B827C9" w:rsidP="00C8437D">
            <w:pPr>
              <w:keepNext/>
              <w:keepLines/>
              <w:jc w:val="both"/>
              <w:rPr>
                <w:rFonts w:asciiTheme="majorHAnsi" w:hAnsiTheme="majorHAnsi" w:cs="Arial"/>
                <w:b/>
                <w:sz w:val="24"/>
                <w:szCs w:val="24"/>
              </w:rPr>
            </w:pPr>
          </w:p>
        </w:tc>
      </w:tr>
    </w:tbl>
    <w:p w:rsidR="003A76E2" w:rsidRDefault="003A76E2"/>
    <w:sectPr w:rsidR="003A76E2" w:rsidSect="00F56C79">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8C5" w:rsidRDefault="005A08C5" w:rsidP="00B827C9">
      <w:pPr>
        <w:spacing w:after="0" w:line="240" w:lineRule="auto"/>
      </w:pPr>
      <w:r>
        <w:separator/>
      </w:r>
    </w:p>
  </w:endnote>
  <w:endnote w:type="continuationSeparator" w:id="1">
    <w:p w:rsidR="005A08C5" w:rsidRDefault="005A08C5" w:rsidP="00B82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8C5" w:rsidRDefault="005A08C5" w:rsidP="00B827C9">
      <w:pPr>
        <w:spacing w:after="0" w:line="240" w:lineRule="auto"/>
      </w:pPr>
      <w:r>
        <w:separator/>
      </w:r>
    </w:p>
  </w:footnote>
  <w:footnote w:type="continuationSeparator" w:id="1">
    <w:p w:rsidR="005A08C5" w:rsidRDefault="005A08C5" w:rsidP="00B827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C79" w:rsidRPr="0002406A" w:rsidRDefault="003A76E2" w:rsidP="000651AD">
    <w:pPr>
      <w:tabs>
        <w:tab w:val="left" w:pos="1372"/>
        <w:tab w:val="center" w:pos="4320"/>
      </w:tabs>
      <w:spacing w:after="0"/>
      <w:rPr>
        <w:b/>
        <w:bCs/>
        <w:i/>
        <w:sz w:val="20"/>
        <w:szCs w:val="20"/>
        <w:u w:val="single"/>
      </w:rPr>
    </w:pPr>
    <w:r w:rsidRPr="00F56C79">
      <w:rPr>
        <w:rFonts w:cs="Aharoni"/>
        <w:b/>
        <w:color w:val="FF0000"/>
        <w:sz w:val="28"/>
        <w:szCs w:val="28"/>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827C9"/>
    <w:rsid w:val="00034CE8"/>
    <w:rsid w:val="00060E57"/>
    <w:rsid w:val="000651AD"/>
    <w:rsid w:val="0009010C"/>
    <w:rsid w:val="00097EE1"/>
    <w:rsid w:val="001037E9"/>
    <w:rsid w:val="00126B57"/>
    <w:rsid w:val="001E7278"/>
    <w:rsid w:val="002019CD"/>
    <w:rsid w:val="00206FFC"/>
    <w:rsid w:val="00207491"/>
    <w:rsid w:val="00222310"/>
    <w:rsid w:val="00264758"/>
    <w:rsid w:val="00290D24"/>
    <w:rsid w:val="002A03D6"/>
    <w:rsid w:val="002A6684"/>
    <w:rsid w:val="002C11FC"/>
    <w:rsid w:val="00312F72"/>
    <w:rsid w:val="00314986"/>
    <w:rsid w:val="00342605"/>
    <w:rsid w:val="003A76E2"/>
    <w:rsid w:val="003C0F9E"/>
    <w:rsid w:val="003F39FC"/>
    <w:rsid w:val="00423B93"/>
    <w:rsid w:val="004467F0"/>
    <w:rsid w:val="00592741"/>
    <w:rsid w:val="005A08C5"/>
    <w:rsid w:val="0061146A"/>
    <w:rsid w:val="006A7AA3"/>
    <w:rsid w:val="006F70E8"/>
    <w:rsid w:val="00764BB0"/>
    <w:rsid w:val="007A399E"/>
    <w:rsid w:val="007C6BEC"/>
    <w:rsid w:val="007F360E"/>
    <w:rsid w:val="007F4E60"/>
    <w:rsid w:val="0080588F"/>
    <w:rsid w:val="00856BE5"/>
    <w:rsid w:val="008F4543"/>
    <w:rsid w:val="00916A3C"/>
    <w:rsid w:val="00945577"/>
    <w:rsid w:val="00957591"/>
    <w:rsid w:val="0096231D"/>
    <w:rsid w:val="00974FD7"/>
    <w:rsid w:val="009A1599"/>
    <w:rsid w:val="00A03256"/>
    <w:rsid w:val="00A91FB9"/>
    <w:rsid w:val="00B827C9"/>
    <w:rsid w:val="00C00DA0"/>
    <w:rsid w:val="00C75200"/>
    <w:rsid w:val="00CD23DA"/>
    <w:rsid w:val="00D04BC8"/>
    <w:rsid w:val="00D17CD0"/>
    <w:rsid w:val="00E02263"/>
    <w:rsid w:val="00E6393C"/>
    <w:rsid w:val="00E91005"/>
    <w:rsid w:val="00EA0F6B"/>
    <w:rsid w:val="00EB4808"/>
    <w:rsid w:val="00EF41B6"/>
    <w:rsid w:val="00F17D43"/>
    <w:rsid w:val="00F730E8"/>
    <w:rsid w:val="00FC0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827C9"/>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B827C9"/>
    <w:rPr>
      <w:rFonts w:ascii="Times New Roman" w:eastAsia="Times New Roman" w:hAnsi="Times New Roman" w:cs="Times New Roman"/>
      <w:sz w:val="20"/>
      <w:szCs w:val="20"/>
    </w:rPr>
  </w:style>
  <w:style w:type="paragraph" w:styleId="BodyTextIndent">
    <w:name w:val="Body Text Indent"/>
    <w:basedOn w:val="Normal"/>
    <w:link w:val="BodyTextIndentChar"/>
    <w:rsid w:val="00B827C9"/>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827C9"/>
    <w:rPr>
      <w:rFonts w:ascii="Times New Roman" w:eastAsia="Times New Roman" w:hAnsi="Times New Roman" w:cs="Times New Roman"/>
      <w:szCs w:val="20"/>
    </w:rPr>
  </w:style>
  <w:style w:type="paragraph" w:styleId="NoSpacing">
    <w:name w:val="No Spacing"/>
    <w:uiPriority w:val="1"/>
    <w:qFormat/>
    <w:rsid w:val="00B827C9"/>
    <w:pPr>
      <w:spacing w:after="0" w:line="240" w:lineRule="auto"/>
    </w:pPr>
  </w:style>
  <w:style w:type="character" w:customStyle="1" w:styleId="m-4293197127507418814gmail-il">
    <w:name w:val="m_-4293197127507418814gmail-il"/>
    <w:basedOn w:val="DefaultParagraphFont"/>
    <w:rsid w:val="00B827C9"/>
  </w:style>
  <w:style w:type="paragraph" w:styleId="Header">
    <w:name w:val="header"/>
    <w:basedOn w:val="Normal"/>
    <w:link w:val="HeaderChar"/>
    <w:unhideWhenUsed/>
    <w:rsid w:val="00B827C9"/>
    <w:pPr>
      <w:tabs>
        <w:tab w:val="center" w:pos="4680"/>
        <w:tab w:val="right" w:pos="9360"/>
      </w:tabs>
      <w:spacing w:after="0" w:line="240" w:lineRule="auto"/>
    </w:pPr>
  </w:style>
  <w:style w:type="character" w:customStyle="1" w:styleId="HeaderChar">
    <w:name w:val="Header Char"/>
    <w:basedOn w:val="DefaultParagraphFont"/>
    <w:link w:val="Header"/>
    <w:rsid w:val="00B827C9"/>
  </w:style>
  <w:style w:type="character" w:styleId="Hyperlink">
    <w:name w:val="Hyperlink"/>
    <w:rsid w:val="00B827C9"/>
    <w:rPr>
      <w:rFonts w:ascii="Verdana" w:hAnsi="Verdana" w:hint="default"/>
      <w:b/>
      <w:bCs/>
      <w:strike w:val="0"/>
      <w:dstrike w:val="0"/>
      <w:color w:val="000080"/>
      <w:sz w:val="20"/>
      <w:szCs w:val="20"/>
      <w:u w:val="none"/>
      <w:effect w:val="none"/>
    </w:rPr>
  </w:style>
  <w:style w:type="paragraph" w:styleId="Footer">
    <w:name w:val="footer"/>
    <w:basedOn w:val="Normal"/>
    <w:link w:val="FooterChar"/>
    <w:uiPriority w:val="99"/>
    <w:semiHidden/>
    <w:unhideWhenUsed/>
    <w:rsid w:val="00B827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C9"/>
  </w:style>
  <w:style w:type="character" w:styleId="Strong">
    <w:name w:val="Strong"/>
    <w:basedOn w:val="DefaultParagraphFont"/>
    <w:uiPriority w:val="22"/>
    <w:qFormat/>
    <w:rsid w:val="00A03256"/>
    <w:rPr>
      <w:b/>
      <w:bCs/>
    </w:rPr>
  </w:style>
  <w:style w:type="paragraph" w:styleId="NormalWeb">
    <w:name w:val="Normal (Web)"/>
    <w:basedOn w:val="Normal"/>
    <w:uiPriority w:val="99"/>
    <w:unhideWhenUsed/>
    <w:rsid w:val="00A0325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019CD"/>
    <w:pPr>
      <w:spacing w:after="160" w:line="259" w:lineRule="auto"/>
      <w:ind w:left="720"/>
      <w:contextualSpacing/>
    </w:pPr>
    <w:rPr>
      <w:rFonts w:eastAsiaTheme="minorHAnsi"/>
    </w:rPr>
  </w:style>
  <w:style w:type="paragraph" w:customStyle="1" w:styleId="Default">
    <w:name w:val="Default"/>
    <w:rsid w:val="00E6393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7175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eeti.hrdwr08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11</Pages>
  <Words>3037</Words>
  <Characters>17313</Characters>
  <Application>Microsoft Office Word</Application>
  <DocSecurity>0</DocSecurity>
  <Lines>144</Lines>
  <Paragraphs>40</Paragraphs>
  <ScaleCrop>false</ScaleCrop>
  <Company>Grizli777</Company>
  <LinksUpToDate>false</LinksUpToDate>
  <CharactersWithSpaces>20310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57</cp:revision>
  <dcterms:created xsi:type="dcterms:W3CDTF">2022-07-04T08:14:00Z</dcterms:created>
  <dcterms:modified xsi:type="dcterms:W3CDTF">2022-09-06T05:39:00Z</dcterms:modified>
</cp:coreProperties>
</file>