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2BB" w:rsidRPr="005E42BB" w:rsidRDefault="005E42BB" w:rsidP="005E42BB">
      <w:pPr>
        <w:rPr>
          <w:rFonts w:asciiTheme="majorHAnsi" w:hAnsiTheme="majorHAnsi"/>
        </w:rPr>
      </w:pPr>
      <w:r w:rsidRPr="005E42BB">
        <w:rPr>
          <w:rFonts w:asciiTheme="majorHAnsi" w:hAnsiTheme="majorHAnsi"/>
          <w:b/>
          <w:bCs/>
        </w:rPr>
        <w:t xml:space="preserve">Context- </w:t>
      </w:r>
      <w:r w:rsidRPr="005E42BB">
        <w:rPr>
          <w:rFonts w:asciiTheme="majorHAnsi" w:hAnsiTheme="majorHAnsi"/>
        </w:rPr>
        <w:t xml:space="preserve">A Special Working Group (SIG) has been constituted under the Chairmanship of the Principal Secretary of Health and Family Welfare, Government of Uttar Pradesh to strengthen the cancer care in Uttar Pradesh. The SIG will comprise of leading state Oncologists, policymakers, technocrats, NGOs, private sector partners, who will deliberate on the current situation of cancer provision in the state, existing clinical and programmatic evidence for improvements and identify and recommend what are the near- and long-term strategies to strengthen different components of cancer care in the state. For the purpose of the SIG, three types of cancers have been prioritized – breast, oral and cervix, however the strategies could include other prevalent cancers of lung, liver etc. Three broad thematic areas have been identified. </w:t>
      </w:r>
    </w:p>
    <w:p w:rsidR="005E42BB" w:rsidRPr="005E42BB" w:rsidRDefault="005E42BB" w:rsidP="005E42BB">
      <w:pPr>
        <w:pStyle w:val="ListParagraph"/>
        <w:numPr>
          <w:ilvl w:val="0"/>
          <w:numId w:val="1"/>
        </w:numPr>
        <w:rPr>
          <w:rFonts w:asciiTheme="majorHAnsi" w:hAnsiTheme="majorHAnsi"/>
        </w:rPr>
      </w:pPr>
      <w:r w:rsidRPr="005E42BB">
        <w:rPr>
          <w:rFonts w:asciiTheme="majorHAnsi" w:hAnsiTheme="majorHAnsi"/>
        </w:rPr>
        <w:t>Strengthening early screening and diagnosis to reduce late-stage representation.</w:t>
      </w:r>
    </w:p>
    <w:p w:rsidR="005E42BB" w:rsidRPr="005E42BB" w:rsidRDefault="005E42BB" w:rsidP="005E42BB">
      <w:pPr>
        <w:pStyle w:val="ListParagraph"/>
        <w:numPr>
          <w:ilvl w:val="0"/>
          <w:numId w:val="1"/>
        </w:numPr>
        <w:rPr>
          <w:rFonts w:asciiTheme="majorHAnsi" w:hAnsiTheme="majorHAnsi"/>
        </w:rPr>
      </w:pPr>
      <w:r w:rsidRPr="005E42BB">
        <w:rPr>
          <w:rFonts w:asciiTheme="majorHAnsi" w:hAnsiTheme="majorHAnsi"/>
        </w:rPr>
        <w:t xml:space="preserve">Strengthening availability and access of cancer treatment for improved treatment outcomes </w:t>
      </w:r>
    </w:p>
    <w:p w:rsidR="005E42BB" w:rsidRPr="005E42BB" w:rsidRDefault="005E42BB" w:rsidP="005E42BB">
      <w:pPr>
        <w:pStyle w:val="ListParagraph"/>
        <w:numPr>
          <w:ilvl w:val="0"/>
          <w:numId w:val="1"/>
        </w:numPr>
        <w:rPr>
          <w:rFonts w:asciiTheme="majorHAnsi" w:hAnsiTheme="majorHAnsi"/>
        </w:rPr>
      </w:pPr>
      <w:r w:rsidRPr="005E42BB">
        <w:rPr>
          <w:rFonts w:asciiTheme="majorHAnsi" w:hAnsiTheme="majorHAnsi"/>
        </w:rPr>
        <w:t xml:space="preserve">Increasing financing for cancer care  </w:t>
      </w:r>
    </w:p>
    <w:p w:rsidR="005E42BB" w:rsidRPr="005E42BB" w:rsidRDefault="005E42BB" w:rsidP="005E42BB">
      <w:pPr>
        <w:rPr>
          <w:rFonts w:asciiTheme="majorHAnsi" w:hAnsiTheme="majorHAnsi"/>
        </w:rPr>
      </w:pPr>
      <w:r w:rsidRPr="005E42BB">
        <w:rPr>
          <w:rFonts w:asciiTheme="majorHAnsi" w:hAnsiTheme="majorHAnsi"/>
        </w:rPr>
        <w:t xml:space="preserve">While the SIG members bring their expertise three working groups are proposed for each of the above areas under the leadership of three members of the SIG, who will be responsible for documenting and providing the current context, evidence from other states and develop recommendations. Each member will be supported by a medical consultant. The working groups will under desk research, review clinical reports, have discussion with subject matter expert to provide the information and recommendations. </w:t>
      </w:r>
    </w:p>
    <w:p w:rsidR="005E42BB" w:rsidRPr="005E42BB" w:rsidRDefault="005E42BB" w:rsidP="005E42BB">
      <w:pPr>
        <w:jc w:val="both"/>
        <w:rPr>
          <w:rFonts w:asciiTheme="majorHAnsi" w:hAnsiTheme="majorHAnsi" w:cstheme="minorHAnsi"/>
          <w:b/>
          <w:bCs/>
          <w:shd w:val="clear" w:color="auto" w:fill="FFFFFF" w:themeFill="background1"/>
        </w:rPr>
      </w:pPr>
      <w:r w:rsidRPr="005E42BB">
        <w:rPr>
          <w:rFonts w:asciiTheme="majorHAnsi" w:hAnsiTheme="majorHAnsi" w:cstheme="minorHAnsi"/>
          <w:b/>
          <w:bCs/>
          <w:shd w:val="clear" w:color="auto" w:fill="FFFFFF" w:themeFill="background1"/>
        </w:rPr>
        <w:t>Scope of Work</w:t>
      </w:r>
    </w:p>
    <w:p w:rsidR="005E42BB" w:rsidRPr="005E42BB" w:rsidRDefault="005E42BB" w:rsidP="005E42BB">
      <w:pPr>
        <w:rPr>
          <w:rFonts w:asciiTheme="majorHAnsi" w:hAnsiTheme="majorHAnsi"/>
        </w:rPr>
      </w:pPr>
      <w:r w:rsidRPr="005E42BB">
        <w:rPr>
          <w:rFonts w:asciiTheme="majorHAnsi" w:hAnsiTheme="majorHAnsi" w:cstheme="minorHAnsi"/>
          <w:shd w:val="clear" w:color="auto" w:fill="FFFFFF" w:themeFill="background1"/>
        </w:rPr>
        <w:t xml:space="preserve">Medical Consultant will lead the development of evidence for the second area for SIG discussion- </w:t>
      </w:r>
      <w:r w:rsidRPr="005E42BB">
        <w:rPr>
          <w:rFonts w:asciiTheme="majorHAnsi" w:hAnsiTheme="majorHAnsi"/>
        </w:rPr>
        <w:t xml:space="preserve">Strengthening availability and access of cancer treatment for improved treatment outcomes. He will work under the guidance of Dr </w:t>
      </w:r>
      <w:proofErr w:type="spellStart"/>
      <w:r w:rsidRPr="005E42BB">
        <w:rPr>
          <w:rFonts w:asciiTheme="majorHAnsi" w:hAnsiTheme="majorHAnsi"/>
        </w:rPr>
        <w:t>Anand</w:t>
      </w:r>
      <w:proofErr w:type="spellEnd"/>
      <w:r w:rsidRPr="005E42BB">
        <w:rPr>
          <w:rFonts w:asciiTheme="majorHAnsi" w:hAnsiTheme="majorHAnsi"/>
        </w:rPr>
        <w:t xml:space="preserve"> </w:t>
      </w:r>
      <w:proofErr w:type="spellStart"/>
      <w:r w:rsidRPr="005E42BB">
        <w:rPr>
          <w:rFonts w:asciiTheme="majorHAnsi" w:hAnsiTheme="majorHAnsi"/>
        </w:rPr>
        <w:t>Mishra</w:t>
      </w:r>
      <w:proofErr w:type="spellEnd"/>
      <w:r w:rsidRPr="005E42BB">
        <w:rPr>
          <w:rFonts w:asciiTheme="majorHAnsi" w:hAnsiTheme="majorHAnsi"/>
        </w:rPr>
        <w:t xml:space="preserve"> from KGMU to prepare the content to be presented to SIG. Additionally he will conduct Key Informant Interviews with the following stakeholders as required to bring the perspective of state. </w:t>
      </w:r>
    </w:p>
    <w:p w:rsidR="005E42BB" w:rsidRPr="005E42BB" w:rsidRDefault="005E42BB" w:rsidP="005E42BB">
      <w:pPr>
        <w:rPr>
          <w:rFonts w:asciiTheme="majorHAnsi" w:hAnsiTheme="majorHAnsi"/>
        </w:rPr>
      </w:pPr>
      <w:r w:rsidRPr="005E42BB">
        <w:rPr>
          <w:rFonts w:asciiTheme="majorHAnsi" w:hAnsiTheme="majorHAnsi"/>
        </w:rPr>
        <w:t xml:space="preserve">Areas of study </w:t>
      </w:r>
    </w:p>
    <w:p w:rsidR="005E42BB" w:rsidRPr="005E42BB" w:rsidRDefault="005E42BB" w:rsidP="005E42BB">
      <w:pPr>
        <w:pStyle w:val="ListParagraph"/>
        <w:numPr>
          <w:ilvl w:val="0"/>
          <w:numId w:val="2"/>
        </w:numPr>
        <w:rPr>
          <w:rFonts w:asciiTheme="majorHAnsi" w:hAnsiTheme="majorHAnsi"/>
          <w:lang w:val="en-US"/>
        </w:rPr>
      </w:pPr>
      <w:r w:rsidRPr="005E42BB">
        <w:rPr>
          <w:rFonts w:asciiTheme="majorHAnsi" w:hAnsiTheme="majorHAnsi"/>
          <w:lang w:val="en-US"/>
        </w:rPr>
        <w:t xml:space="preserve">Review of HBP 2022 for PM-JAY and STGs followed by state (non-insurance) to identify areas of strengthening for diagnosis and treatment. </w:t>
      </w:r>
    </w:p>
    <w:p w:rsidR="005E42BB" w:rsidRPr="005E42BB" w:rsidRDefault="005E42BB" w:rsidP="005E42BB">
      <w:pPr>
        <w:pStyle w:val="ListParagraph"/>
        <w:numPr>
          <w:ilvl w:val="0"/>
          <w:numId w:val="2"/>
        </w:numPr>
        <w:jc w:val="both"/>
        <w:rPr>
          <w:rFonts w:asciiTheme="majorHAnsi" w:hAnsiTheme="majorHAnsi" w:cstheme="minorHAnsi"/>
          <w:shd w:val="clear" w:color="auto" w:fill="FFFFFF" w:themeFill="background1"/>
        </w:rPr>
      </w:pPr>
      <w:r w:rsidRPr="005E42BB">
        <w:rPr>
          <w:rFonts w:asciiTheme="majorHAnsi" w:hAnsiTheme="majorHAnsi" w:cstheme="minorHAnsi"/>
          <w:shd w:val="clear" w:color="auto" w:fill="FFFFFF" w:themeFill="background1"/>
        </w:rPr>
        <w:t xml:space="preserve">Review the literature and generate scientific evidence of patients’ survival after including the advanced drugs and therapies to substantiate the recommended pathways </w:t>
      </w:r>
    </w:p>
    <w:p w:rsidR="005E42BB" w:rsidRPr="005E42BB" w:rsidRDefault="005E42BB" w:rsidP="005E42BB">
      <w:pPr>
        <w:pStyle w:val="ListParagraph"/>
        <w:numPr>
          <w:ilvl w:val="0"/>
          <w:numId w:val="2"/>
        </w:numPr>
        <w:rPr>
          <w:rFonts w:asciiTheme="majorHAnsi" w:hAnsiTheme="majorHAnsi"/>
          <w:lang w:val="en-US"/>
        </w:rPr>
      </w:pPr>
      <w:r w:rsidRPr="005E42BB">
        <w:rPr>
          <w:rFonts w:asciiTheme="majorHAnsi" w:hAnsiTheme="majorHAnsi"/>
          <w:lang w:val="en-US"/>
        </w:rPr>
        <w:t xml:space="preserve">Estimate statewide resource requirement for diagnosis and treatment- infrastructure, Human resources- both financial resources and building of infrastructure.  </w:t>
      </w:r>
    </w:p>
    <w:p w:rsidR="005E42BB" w:rsidRPr="005E42BB" w:rsidRDefault="005E42BB" w:rsidP="005E42BB">
      <w:pPr>
        <w:pStyle w:val="ListParagraph"/>
        <w:numPr>
          <w:ilvl w:val="0"/>
          <w:numId w:val="2"/>
        </w:numPr>
        <w:rPr>
          <w:rFonts w:asciiTheme="majorHAnsi" w:hAnsiTheme="majorHAnsi" w:cstheme="minorHAnsi"/>
        </w:rPr>
      </w:pPr>
      <w:r w:rsidRPr="005E42BB">
        <w:rPr>
          <w:rFonts w:asciiTheme="majorHAnsi" w:hAnsiTheme="majorHAnsi" w:cstheme="minorHAnsi"/>
        </w:rPr>
        <w:t xml:space="preserve">Suggestions to strengthen the essential diagnostic and medicine list. </w:t>
      </w:r>
    </w:p>
    <w:p w:rsidR="005E42BB" w:rsidRPr="005E42BB" w:rsidRDefault="005E42BB" w:rsidP="005E42BB">
      <w:pPr>
        <w:pStyle w:val="ListParagraph"/>
        <w:numPr>
          <w:ilvl w:val="0"/>
          <w:numId w:val="2"/>
        </w:numPr>
        <w:rPr>
          <w:rFonts w:asciiTheme="majorHAnsi" w:hAnsiTheme="majorHAnsi" w:cstheme="minorHAnsi"/>
        </w:rPr>
      </w:pPr>
      <w:r w:rsidRPr="005E42BB">
        <w:rPr>
          <w:rFonts w:asciiTheme="majorHAnsi" w:hAnsiTheme="majorHAnsi" w:cstheme="minorHAnsi"/>
        </w:rPr>
        <w:t xml:space="preserve">Suggestions to strengthen supply chain </w:t>
      </w:r>
    </w:p>
    <w:p w:rsidR="005E42BB" w:rsidRPr="005E42BB" w:rsidRDefault="005E42BB" w:rsidP="005E42BB">
      <w:pPr>
        <w:pStyle w:val="ListParagraph"/>
        <w:numPr>
          <w:ilvl w:val="0"/>
          <w:numId w:val="2"/>
        </w:numPr>
        <w:rPr>
          <w:rFonts w:asciiTheme="majorHAnsi" w:hAnsiTheme="majorHAnsi" w:cstheme="minorHAnsi"/>
        </w:rPr>
      </w:pPr>
      <w:r w:rsidRPr="005E42BB">
        <w:rPr>
          <w:rFonts w:asciiTheme="majorHAnsi" w:hAnsiTheme="majorHAnsi" w:cstheme="minorHAnsi"/>
        </w:rPr>
        <w:t>Strengthening periphery public health institutions for follow up care</w:t>
      </w:r>
    </w:p>
    <w:p w:rsidR="005E42BB" w:rsidRPr="005E42BB" w:rsidRDefault="005E42BB" w:rsidP="005E42BB">
      <w:pPr>
        <w:pStyle w:val="ListParagraph"/>
        <w:numPr>
          <w:ilvl w:val="0"/>
          <w:numId w:val="2"/>
        </w:numPr>
        <w:rPr>
          <w:rFonts w:asciiTheme="majorHAnsi" w:hAnsiTheme="majorHAnsi" w:cstheme="minorHAnsi"/>
        </w:rPr>
      </w:pPr>
      <w:r w:rsidRPr="005E42BB">
        <w:rPr>
          <w:rFonts w:asciiTheme="majorHAnsi" w:hAnsiTheme="majorHAnsi" w:cstheme="minorHAnsi"/>
        </w:rPr>
        <w:t xml:space="preserve">Public Private models for cancer provisioning and care management  </w:t>
      </w:r>
    </w:p>
    <w:p w:rsidR="005E42BB" w:rsidRPr="005E42BB" w:rsidRDefault="005E42BB" w:rsidP="005E42BB">
      <w:pPr>
        <w:rPr>
          <w:rFonts w:asciiTheme="majorHAnsi" w:hAnsiTheme="majorHAnsi" w:cstheme="minorHAnsi"/>
        </w:rPr>
      </w:pPr>
      <w:r w:rsidRPr="005E42BB">
        <w:rPr>
          <w:rFonts w:asciiTheme="majorHAnsi" w:hAnsiTheme="majorHAnsi" w:cstheme="minorHAnsi"/>
        </w:rPr>
        <w:t>Stakeholders for KIIs</w:t>
      </w:r>
    </w:p>
    <w:p w:rsidR="005E42BB" w:rsidRPr="005E42BB" w:rsidRDefault="005E42BB" w:rsidP="005E42BB">
      <w:pPr>
        <w:pStyle w:val="ListParagraph"/>
        <w:numPr>
          <w:ilvl w:val="0"/>
          <w:numId w:val="3"/>
        </w:numPr>
        <w:rPr>
          <w:rFonts w:asciiTheme="majorHAnsi" w:hAnsiTheme="majorHAnsi" w:cstheme="minorHAnsi"/>
        </w:rPr>
      </w:pPr>
      <w:r w:rsidRPr="005E42BB">
        <w:rPr>
          <w:rFonts w:asciiTheme="majorHAnsi" w:hAnsiTheme="majorHAnsi" w:cstheme="minorHAnsi"/>
        </w:rPr>
        <w:t>Department of Health and Family Welfare</w:t>
      </w:r>
    </w:p>
    <w:p w:rsidR="005E42BB" w:rsidRPr="005E42BB" w:rsidRDefault="005E42BB" w:rsidP="005E42BB">
      <w:pPr>
        <w:pStyle w:val="ListParagraph"/>
        <w:numPr>
          <w:ilvl w:val="0"/>
          <w:numId w:val="3"/>
        </w:numPr>
        <w:rPr>
          <w:rFonts w:asciiTheme="majorHAnsi" w:hAnsiTheme="majorHAnsi" w:cstheme="minorHAnsi"/>
        </w:rPr>
      </w:pPr>
      <w:r w:rsidRPr="005E42BB">
        <w:rPr>
          <w:rFonts w:asciiTheme="majorHAnsi" w:hAnsiTheme="majorHAnsi" w:cstheme="minorHAnsi"/>
        </w:rPr>
        <w:t xml:space="preserve">National Cancer Control Program </w:t>
      </w:r>
    </w:p>
    <w:p w:rsidR="005E42BB" w:rsidRPr="005E42BB" w:rsidRDefault="005E42BB" w:rsidP="005E42BB">
      <w:pPr>
        <w:pStyle w:val="ListParagraph"/>
        <w:numPr>
          <w:ilvl w:val="0"/>
          <w:numId w:val="3"/>
        </w:numPr>
        <w:rPr>
          <w:rFonts w:asciiTheme="majorHAnsi" w:hAnsiTheme="majorHAnsi" w:cstheme="minorHAnsi"/>
        </w:rPr>
      </w:pPr>
      <w:r w:rsidRPr="005E42BB">
        <w:rPr>
          <w:rFonts w:asciiTheme="majorHAnsi" w:hAnsiTheme="majorHAnsi" w:cstheme="minorHAnsi"/>
        </w:rPr>
        <w:t xml:space="preserve">National Health Mission  </w:t>
      </w:r>
    </w:p>
    <w:p w:rsidR="005E42BB" w:rsidRPr="00386235" w:rsidRDefault="005E42BB" w:rsidP="005E42BB">
      <w:pPr>
        <w:pStyle w:val="ListParagraph"/>
        <w:numPr>
          <w:ilvl w:val="0"/>
          <w:numId w:val="3"/>
        </w:numPr>
        <w:rPr>
          <w:rFonts w:asciiTheme="majorHAnsi" w:hAnsiTheme="majorHAnsi" w:cstheme="minorHAnsi"/>
        </w:rPr>
      </w:pPr>
      <w:r w:rsidRPr="00386235">
        <w:rPr>
          <w:rFonts w:asciiTheme="majorHAnsi" w:hAnsiTheme="majorHAnsi" w:cstheme="minorHAnsi"/>
        </w:rPr>
        <w:lastRenderedPageBreak/>
        <w:t xml:space="preserve">National Health Authority </w:t>
      </w:r>
    </w:p>
    <w:p w:rsidR="005E42BB" w:rsidRPr="00386235" w:rsidRDefault="005E42BB" w:rsidP="005E42BB">
      <w:pPr>
        <w:pStyle w:val="ListParagraph"/>
        <w:numPr>
          <w:ilvl w:val="0"/>
          <w:numId w:val="3"/>
        </w:numPr>
        <w:rPr>
          <w:rFonts w:asciiTheme="majorHAnsi" w:hAnsiTheme="majorHAnsi" w:cstheme="minorHAnsi"/>
        </w:rPr>
      </w:pPr>
      <w:r w:rsidRPr="00386235">
        <w:rPr>
          <w:rFonts w:asciiTheme="majorHAnsi" w:hAnsiTheme="majorHAnsi" w:cstheme="minorHAnsi"/>
        </w:rPr>
        <w:t>SACHIS</w:t>
      </w:r>
    </w:p>
    <w:p w:rsidR="00386235" w:rsidRPr="00386235" w:rsidRDefault="00386235" w:rsidP="00386235">
      <w:pPr>
        <w:pStyle w:val="ListParagraph"/>
        <w:numPr>
          <w:ilvl w:val="0"/>
          <w:numId w:val="3"/>
        </w:numPr>
        <w:rPr>
          <w:rFonts w:asciiTheme="majorHAnsi" w:hAnsiTheme="majorHAnsi" w:cstheme="minorHAnsi"/>
        </w:rPr>
      </w:pPr>
      <w:r w:rsidRPr="00386235">
        <w:rPr>
          <w:rFonts w:asciiTheme="majorHAnsi" w:hAnsiTheme="majorHAnsi" w:cstheme="minorHAnsi"/>
        </w:rPr>
        <w:t>Department of Medical Education</w:t>
      </w:r>
    </w:p>
    <w:p w:rsidR="00386235" w:rsidRPr="00386235" w:rsidRDefault="00386235" w:rsidP="00386235">
      <w:pPr>
        <w:pStyle w:val="ListParagraph"/>
        <w:numPr>
          <w:ilvl w:val="0"/>
          <w:numId w:val="3"/>
        </w:numPr>
        <w:rPr>
          <w:rFonts w:asciiTheme="majorHAnsi" w:hAnsiTheme="majorHAnsi" w:cstheme="minorHAnsi"/>
        </w:rPr>
      </w:pPr>
      <w:r w:rsidRPr="00386235">
        <w:rPr>
          <w:rFonts w:asciiTheme="majorHAnsi" w:hAnsiTheme="majorHAnsi" w:cstheme="minorHAnsi"/>
        </w:rPr>
        <w:t>Uttar Pradesh Medical Services Corporation</w:t>
      </w:r>
    </w:p>
    <w:p w:rsidR="00473876" w:rsidRDefault="00473876" w:rsidP="00386235">
      <w:pPr>
        <w:spacing w:after="0"/>
        <w:rPr>
          <w:rFonts w:asciiTheme="majorHAnsi" w:hAnsiTheme="majorHAnsi" w:cstheme="minorHAnsi"/>
          <w:b/>
          <w:bCs/>
        </w:rPr>
      </w:pPr>
    </w:p>
    <w:p w:rsidR="00386235" w:rsidRPr="00386235" w:rsidRDefault="00386235" w:rsidP="00386235">
      <w:pPr>
        <w:spacing w:after="0"/>
        <w:rPr>
          <w:rFonts w:asciiTheme="majorHAnsi" w:hAnsiTheme="majorHAnsi" w:cstheme="minorHAnsi"/>
          <w:b/>
          <w:bCs/>
        </w:rPr>
      </w:pPr>
      <w:r w:rsidRPr="00386235">
        <w:rPr>
          <w:rFonts w:asciiTheme="majorHAnsi" w:hAnsiTheme="majorHAnsi" w:cstheme="minorHAnsi"/>
          <w:b/>
          <w:bCs/>
        </w:rPr>
        <w:t>Deliverables</w:t>
      </w:r>
    </w:p>
    <w:p w:rsidR="00386235" w:rsidRPr="00386235" w:rsidRDefault="00386235" w:rsidP="00386235">
      <w:pPr>
        <w:pStyle w:val="ListParagraph"/>
        <w:numPr>
          <w:ilvl w:val="0"/>
          <w:numId w:val="4"/>
        </w:numPr>
        <w:spacing w:after="0" w:line="240" w:lineRule="auto"/>
        <w:jc w:val="both"/>
        <w:rPr>
          <w:rFonts w:asciiTheme="majorHAnsi" w:eastAsia="Times New Roman" w:hAnsiTheme="majorHAnsi" w:cstheme="minorHAnsi"/>
          <w:bCs/>
        </w:rPr>
      </w:pPr>
      <w:r w:rsidRPr="00386235">
        <w:rPr>
          <w:rFonts w:asciiTheme="majorHAnsi" w:eastAsia="Times New Roman" w:hAnsiTheme="majorHAnsi" w:cstheme="minorHAnsi"/>
          <w:bCs/>
        </w:rPr>
        <w:t>PowerPoint presentation for SIG meetings</w:t>
      </w:r>
    </w:p>
    <w:p w:rsidR="00386235" w:rsidRPr="00386235" w:rsidRDefault="00386235" w:rsidP="00386235">
      <w:pPr>
        <w:pStyle w:val="ListParagraph"/>
        <w:numPr>
          <w:ilvl w:val="0"/>
          <w:numId w:val="4"/>
        </w:numPr>
        <w:spacing w:after="0" w:line="240" w:lineRule="auto"/>
        <w:jc w:val="both"/>
        <w:rPr>
          <w:rFonts w:asciiTheme="majorHAnsi" w:eastAsia="Times New Roman" w:hAnsiTheme="majorHAnsi" w:cstheme="minorHAnsi"/>
          <w:bCs/>
        </w:rPr>
      </w:pPr>
      <w:r w:rsidRPr="00386235">
        <w:rPr>
          <w:rFonts w:asciiTheme="majorHAnsi" w:eastAsia="Times New Roman" w:hAnsiTheme="majorHAnsi" w:cstheme="minorHAnsi"/>
          <w:bCs/>
        </w:rPr>
        <w:t>Final technical report</w:t>
      </w:r>
    </w:p>
    <w:p w:rsidR="00000000" w:rsidRDefault="00473876">
      <w:pPr>
        <w:rPr>
          <w:rFonts w:asciiTheme="majorHAnsi" w:hAnsiTheme="majorHAnsi"/>
        </w:rPr>
      </w:pPr>
    </w:p>
    <w:p w:rsidR="003A5DAF" w:rsidRDefault="003A5DAF" w:rsidP="003A5DAF">
      <w:pPr>
        <w:jc w:val="both"/>
        <w:rPr>
          <w:rFonts w:ascii="Cambria" w:hAnsi="Cambria" w:cs="Times New Roman"/>
          <w:b/>
          <w:bCs/>
        </w:rPr>
      </w:pPr>
      <w:r w:rsidRPr="00C97799">
        <w:rPr>
          <w:rFonts w:ascii="Cambria" w:hAnsi="Cambria" w:cs="Times New Roman"/>
          <w:b/>
          <w:bCs/>
        </w:rPr>
        <w:t>Compensation</w:t>
      </w:r>
    </w:p>
    <w:p w:rsidR="003A5DAF" w:rsidRPr="003A5DAF" w:rsidRDefault="003A5DAF" w:rsidP="003A5DAF">
      <w:pPr>
        <w:jc w:val="both"/>
        <w:rPr>
          <w:rFonts w:asciiTheme="majorHAnsi" w:hAnsiTheme="majorHAnsi" w:cs="Arial"/>
        </w:rPr>
      </w:pPr>
      <w:r w:rsidRPr="003A5DAF">
        <w:rPr>
          <w:rFonts w:asciiTheme="majorHAnsi" w:eastAsia="Arial" w:hAnsiTheme="majorHAnsi" w:cs="Arial"/>
          <w:bCs/>
          <w:iCs/>
        </w:rPr>
        <w:t>The consultant fee for this engagement is</w:t>
      </w:r>
      <w:r w:rsidRPr="003A5DAF">
        <w:rPr>
          <w:rFonts w:asciiTheme="majorHAnsi" w:hAnsiTheme="majorHAnsi" w:cs="Arial"/>
        </w:rPr>
        <w:t xml:space="preserve"> INR 4,000 per working day</w:t>
      </w:r>
      <w:r w:rsidR="00473876">
        <w:rPr>
          <w:rFonts w:asciiTheme="majorHAnsi" w:hAnsiTheme="majorHAnsi" w:cs="Arial"/>
        </w:rPr>
        <w:t>.</w:t>
      </w:r>
      <w:r w:rsidRPr="003A5DAF">
        <w:rPr>
          <w:rFonts w:asciiTheme="majorHAnsi" w:hAnsiTheme="majorHAnsi" w:cs="Arial"/>
        </w:rPr>
        <w:t xml:space="preserve"> The engagement is for 30 working days, amounting to INR 120,000 during the contract period</w:t>
      </w:r>
      <w:r w:rsidR="00D507F1">
        <w:rPr>
          <w:rFonts w:asciiTheme="majorHAnsi" w:hAnsiTheme="majorHAnsi" w:cs="Arial"/>
        </w:rPr>
        <w:t xml:space="preserve"> </w:t>
      </w:r>
      <w:r w:rsidR="00D507F1" w:rsidRPr="003A5DAF">
        <w:rPr>
          <w:rFonts w:asciiTheme="majorHAnsi" w:hAnsiTheme="majorHAnsi" w:cs="Arial"/>
        </w:rPr>
        <w:t>subject</w:t>
      </w:r>
      <w:r w:rsidR="00D507F1" w:rsidRPr="003A5DAF">
        <w:rPr>
          <w:rFonts w:asciiTheme="majorHAnsi" w:hAnsiTheme="majorHAnsi"/>
        </w:rPr>
        <w:t xml:space="preserve"> to deduction of TDS as per Income Tax Act Rates.</w:t>
      </w:r>
    </w:p>
    <w:p w:rsidR="003A5DAF" w:rsidRPr="00473876" w:rsidRDefault="003A5DAF" w:rsidP="003A5DAF">
      <w:pPr>
        <w:spacing w:after="0" w:line="240" w:lineRule="auto"/>
        <w:jc w:val="both"/>
        <w:rPr>
          <w:rFonts w:asciiTheme="majorHAnsi" w:eastAsia="Times New Roman" w:hAnsiTheme="majorHAnsi" w:cstheme="minorHAnsi"/>
          <w:b/>
        </w:rPr>
      </w:pPr>
      <w:r w:rsidRPr="00473876">
        <w:rPr>
          <w:rFonts w:asciiTheme="majorHAnsi" w:eastAsia="Times New Roman" w:hAnsiTheme="majorHAnsi" w:cstheme="minorHAnsi"/>
          <w:b/>
        </w:rPr>
        <w:t xml:space="preserve">Payment Schedule </w:t>
      </w:r>
    </w:p>
    <w:p w:rsidR="003A5DAF" w:rsidRPr="00473876" w:rsidRDefault="003A5DAF" w:rsidP="003A5DAF">
      <w:pPr>
        <w:spacing w:after="0" w:line="240" w:lineRule="auto"/>
        <w:jc w:val="both"/>
        <w:rPr>
          <w:rFonts w:asciiTheme="majorHAnsi" w:eastAsia="Times New Roman" w:hAnsiTheme="majorHAnsi" w:cstheme="minorHAnsi"/>
          <w:bCs/>
        </w:rPr>
      </w:pPr>
    </w:p>
    <w:p w:rsidR="003A5DAF" w:rsidRPr="00473876" w:rsidRDefault="003A5DAF" w:rsidP="003A5DAF">
      <w:pPr>
        <w:spacing w:after="0" w:line="240" w:lineRule="auto"/>
        <w:jc w:val="both"/>
        <w:rPr>
          <w:rFonts w:asciiTheme="majorHAnsi" w:eastAsia="Times New Roman" w:hAnsiTheme="majorHAnsi" w:cstheme="minorHAnsi"/>
          <w:bCs/>
        </w:rPr>
      </w:pPr>
      <w:proofErr w:type="gramStart"/>
      <w:r w:rsidRPr="00473876">
        <w:rPr>
          <w:rFonts w:asciiTheme="majorHAnsi" w:eastAsia="Times New Roman" w:hAnsiTheme="majorHAnsi" w:cstheme="minorHAnsi"/>
          <w:bCs/>
        </w:rPr>
        <w:t xml:space="preserve">Three payments of equal amounts on submission of sub deliverables </w:t>
      </w:r>
      <w:r w:rsidRPr="00473876">
        <w:rPr>
          <w:rFonts w:asciiTheme="majorHAnsi" w:eastAsia="Arial" w:hAnsiTheme="majorHAnsi" w:cs="Arial"/>
          <w:bCs/>
          <w:iCs/>
        </w:rPr>
        <w:t>and by providing the invoice</w:t>
      </w:r>
      <w:r w:rsidRPr="00473876">
        <w:rPr>
          <w:rFonts w:asciiTheme="majorHAnsi" w:eastAsia="Times New Roman" w:hAnsiTheme="majorHAnsi" w:cstheme="minorHAnsi"/>
          <w:bCs/>
        </w:rPr>
        <w:t>.</w:t>
      </w:r>
      <w:proofErr w:type="gramEnd"/>
      <w:r w:rsidRPr="00473876">
        <w:rPr>
          <w:rFonts w:asciiTheme="majorHAnsi" w:eastAsia="Times New Roman" w:hAnsiTheme="majorHAnsi" w:cstheme="minorHAnsi"/>
          <w:bCs/>
        </w:rPr>
        <w:t xml:space="preserve"> </w:t>
      </w:r>
    </w:p>
    <w:p w:rsidR="003A5DAF" w:rsidRPr="003A5DAF" w:rsidRDefault="003A5DAF" w:rsidP="003A5DAF">
      <w:pPr>
        <w:jc w:val="both"/>
        <w:rPr>
          <w:rFonts w:asciiTheme="majorHAnsi" w:hAnsiTheme="majorHAnsi" w:cs="Times New Roman"/>
          <w:b/>
          <w:bCs/>
        </w:rPr>
      </w:pPr>
    </w:p>
    <w:p w:rsidR="00D507F1" w:rsidRPr="00D56634" w:rsidRDefault="00D507F1" w:rsidP="00D507F1">
      <w:pPr>
        <w:rPr>
          <w:rFonts w:asciiTheme="majorHAnsi" w:hAnsiTheme="majorHAnsi"/>
          <w:b/>
        </w:rPr>
      </w:pPr>
      <w:r w:rsidRPr="00D56634">
        <w:rPr>
          <w:rFonts w:asciiTheme="majorHAnsi" w:hAnsiTheme="majorHAnsi"/>
          <w:b/>
        </w:rPr>
        <w:t>Term</w:t>
      </w:r>
    </w:p>
    <w:p w:rsidR="00D507F1" w:rsidRPr="00D56634" w:rsidRDefault="00D507F1" w:rsidP="00D507F1">
      <w:pPr>
        <w:jc w:val="both"/>
        <w:rPr>
          <w:rFonts w:asciiTheme="majorHAnsi" w:hAnsiTheme="majorHAnsi" w:cs="Arial"/>
        </w:rPr>
      </w:pPr>
      <w:r w:rsidRPr="00D56634">
        <w:rPr>
          <w:rFonts w:asciiTheme="majorHAnsi" w:hAnsiTheme="majorHAnsi" w:cs="Arial"/>
        </w:rPr>
        <w:t xml:space="preserve">This engagement shall commence upon execution of this Agreement. The Agreement shall continue in full force and is effect from </w:t>
      </w:r>
      <w:r>
        <w:rPr>
          <w:rFonts w:asciiTheme="majorHAnsi" w:hAnsiTheme="majorHAnsi" w:cs="Arial"/>
          <w:b/>
        </w:rPr>
        <w:t>November</w:t>
      </w:r>
      <w:r w:rsidRPr="00D56634">
        <w:rPr>
          <w:rFonts w:asciiTheme="majorHAnsi" w:hAnsiTheme="majorHAnsi" w:cs="Arial"/>
          <w:b/>
        </w:rPr>
        <w:t xml:space="preserve"> 0</w:t>
      </w:r>
      <w:r>
        <w:rPr>
          <w:rFonts w:asciiTheme="majorHAnsi" w:hAnsiTheme="majorHAnsi" w:cs="Arial"/>
          <w:b/>
        </w:rPr>
        <w:t>8</w:t>
      </w:r>
      <w:r w:rsidRPr="00D56634">
        <w:rPr>
          <w:rFonts w:asciiTheme="majorHAnsi" w:hAnsiTheme="majorHAnsi" w:cs="Arial"/>
          <w:b/>
        </w:rPr>
        <w:t>, 2022</w:t>
      </w:r>
      <w:r w:rsidRPr="00D56634">
        <w:rPr>
          <w:rFonts w:asciiTheme="majorHAnsi" w:hAnsiTheme="majorHAnsi" w:cs="Arial"/>
        </w:rPr>
        <w:t xml:space="preserve"> to </w:t>
      </w:r>
      <w:r>
        <w:rPr>
          <w:rFonts w:asciiTheme="majorHAnsi" w:hAnsiTheme="majorHAnsi" w:cs="Arial"/>
          <w:b/>
        </w:rPr>
        <w:t>January 31</w:t>
      </w:r>
      <w:r w:rsidRPr="00D56634">
        <w:rPr>
          <w:rFonts w:asciiTheme="majorHAnsi" w:hAnsiTheme="majorHAnsi" w:cs="Arial"/>
          <w:b/>
        </w:rPr>
        <w:t>, 202</w:t>
      </w:r>
      <w:r>
        <w:rPr>
          <w:rFonts w:asciiTheme="majorHAnsi" w:hAnsiTheme="majorHAnsi" w:cs="Arial"/>
          <w:b/>
        </w:rPr>
        <w:t>3.</w:t>
      </w:r>
    </w:p>
    <w:p w:rsidR="00D507F1" w:rsidRDefault="00D507F1" w:rsidP="00D507F1"/>
    <w:p w:rsidR="003A5DAF" w:rsidRPr="00386235" w:rsidRDefault="003A5DAF" w:rsidP="00D507F1">
      <w:pPr>
        <w:rPr>
          <w:rFonts w:asciiTheme="majorHAnsi" w:hAnsiTheme="majorHAnsi"/>
        </w:rPr>
      </w:pPr>
    </w:p>
    <w:sectPr w:rsidR="003A5DAF" w:rsidRPr="003862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0AE0"/>
    <w:multiLevelType w:val="hybridMultilevel"/>
    <w:tmpl w:val="519C51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413E3309"/>
    <w:multiLevelType w:val="hybridMultilevel"/>
    <w:tmpl w:val="3B7C5F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029752C"/>
    <w:multiLevelType w:val="hybridMultilevel"/>
    <w:tmpl w:val="D5A25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66092511"/>
    <w:multiLevelType w:val="hybridMultilevel"/>
    <w:tmpl w:val="738AE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345200"/>
    <w:multiLevelType w:val="hybridMultilevel"/>
    <w:tmpl w:val="317E1650"/>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E42BB"/>
    <w:rsid w:val="00386235"/>
    <w:rsid w:val="003A5DAF"/>
    <w:rsid w:val="00473876"/>
    <w:rsid w:val="005E42BB"/>
    <w:rsid w:val="00D50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2BB"/>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530</Words>
  <Characters>3022</Characters>
  <Application>Microsoft Office Word</Application>
  <DocSecurity>0</DocSecurity>
  <Lines>25</Lines>
  <Paragraphs>7</Paragraphs>
  <ScaleCrop>false</ScaleCrop>
  <Company>Grizli777</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2022-11-24T11:58:00Z</dcterms:created>
  <dcterms:modified xsi:type="dcterms:W3CDTF">2022-11-24T12:17:00Z</dcterms:modified>
</cp:coreProperties>
</file>