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556" w:rsidRPr="000C563A" w:rsidRDefault="000C563A">
      <w:pPr>
        <w:rPr>
          <w:rFonts w:ascii="Arial" w:hAnsi="Arial" w:cs="Arial"/>
          <w:b/>
        </w:rPr>
      </w:pPr>
      <w:r w:rsidRPr="000C563A">
        <w:rPr>
          <w:rFonts w:ascii="Arial" w:hAnsi="Arial" w:cs="Arial"/>
          <w:b/>
        </w:rPr>
        <w:t>Scope of Work</w:t>
      </w:r>
    </w:p>
    <w:p w:rsidR="008F69F3" w:rsidRPr="008F69F3" w:rsidRDefault="008F69F3" w:rsidP="008F69F3">
      <w:pPr>
        <w:pStyle w:val="Heading1"/>
        <w:ind w:left="0"/>
        <w:rPr>
          <w:rFonts w:ascii="Arial" w:hAnsi="Arial" w:cs="Arial"/>
        </w:rPr>
      </w:pPr>
      <w:r w:rsidRPr="008F69F3">
        <w:rPr>
          <w:rFonts w:ascii="Arial" w:hAnsi="Arial" w:cs="Arial"/>
        </w:rPr>
        <w:t>Project objectives:</w:t>
      </w:r>
    </w:p>
    <w:p w:rsidR="008F69F3" w:rsidRPr="008F69F3" w:rsidRDefault="008F69F3" w:rsidP="008F69F3">
      <w:pPr>
        <w:pStyle w:val="ListParagraph"/>
        <w:numPr>
          <w:ilvl w:val="0"/>
          <w:numId w:val="1"/>
        </w:numPr>
        <w:tabs>
          <w:tab w:val="left" w:pos="861"/>
        </w:tabs>
        <w:spacing w:before="181" w:line="259" w:lineRule="auto"/>
        <w:ind w:right="122"/>
        <w:jc w:val="both"/>
        <w:rPr>
          <w:rFonts w:ascii="Arial" w:hAnsi="Arial" w:cs="Arial"/>
        </w:rPr>
      </w:pPr>
      <w:r w:rsidRPr="008F69F3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develop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comprehensive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analysis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overall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policy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landscape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cardiovascular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diseases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(CVDs)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care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prevention,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identifying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gaps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policy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program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implementation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Indonesia. Understanding these policy and implementation gaps will serve to elevate public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awareness of the growing CVD burden, support evidence-based policymaking, and encourage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unified,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multi-</w:t>
      </w:r>
      <w:proofErr w:type="spellStart"/>
      <w:r w:rsidRPr="008F69F3">
        <w:rPr>
          <w:rFonts w:ascii="Arial" w:hAnsi="Arial" w:cs="Arial"/>
        </w:rPr>
        <w:t>sectoral</w:t>
      </w:r>
      <w:proofErr w:type="spellEnd"/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action for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heart</w:t>
      </w:r>
      <w:r w:rsidR="00EF5595"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health</w:t>
      </w:r>
      <w:r w:rsidR="00EF5595"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r w:rsidRPr="008F69F3">
        <w:rPr>
          <w:rFonts w:ascii="Arial" w:hAnsi="Arial" w:cs="Arial"/>
        </w:rPr>
        <w:t>the Asia Pacific.</w:t>
      </w:r>
    </w:p>
    <w:p w:rsidR="008F69F3" w:rsidRPr="008F69F3" w:rsidRDefault="008F69F3" w:rsidP="008F69F3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124"/>
        <w:jc w:val="both"/>
        <w:rPr>
          <w:rFonts w:ascii="Arial" w:hAnsi="Arial" w:cs="Arial"/>
        </w:rPr>
      </w:pPr>
      <w:r w:rsidRPr="008F69F3">
        <w:rPr>
          <w:rFonts w:ascii="Arial" w:hAnsi="Arial" w:cs="Arial"/>
        </w:rPr>
        <w:t>ToconceptualizeanddeveloppartnershipswithkeyIndonesianCVDstakeholderstostrengthentheAlliance’snetworksinAsia.</w:t>
      </w:r>
    </w:p>
    <w:p w:rsidR="00EF5595" w:rsidRDefault="00EF5595" w:rsidP="00EF5595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EF5595" w:rsidRPr="00EF5595" w:rsidRDefault="00EF5595" w:rsidP="00EF5595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  <w:r w:rsidRPr="00EF5595">
        <w:rPr>
          <w:rFonts w:ascii="Arial" w:hAnsi="Arial" w:cs="Arial"/>
          <w:b/>
          <w:color w:val="222222"/>
          <w:shd w:val="clear" w:color="auto" w:fill="FFFFFF"/>
        </w:rPr>
        <w:t>Timelines:</w:t>
      </w:r>
    </w:p>
    <w:p w:rsidR="00EF5595" w:rsidRPr="00B62849" w:rsidRDefault="00EF5595" w:rsidP="00B62849">
      <w:pPr>
        <w:pStyle w:val="NoSpacing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B62849">
        <w:rPr>
          <w:rFonts w:ascii="Arial" w:hAnsi="Arial" w:cs="Arial"/>
          <w:shd w:val="clear" w:color="auto" w:fill="FFFFFF"/>
        </w:rPr>
        <w:t>Research on country profile &amp; policy gaps: April 24, 2023 – May 3, 2023</w:t>
      </w:r>
    </w:p>
    <w:p w:rsidR="00EF5595" w:rsidRPr="00B62849" w:rsidRDefault="00EF5595" w:rsidP="00B62849">
      <w:pPr>
        <w:pStyle w:val="NoSpacing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B62849">
        <w:rPr>
          <w:rFonts w:ascii="Arial" w:hAnsi="Arial" w:cs="Arial"/>
          <w:shd w:val="clear" w:color="auto" w:fill="FFFFFF"/>
        </w:rPr>
        <w:t>Inputs for regional analysis: May 1, 2023 – May 10, 2023</w:t>
      </w:r>
    </w:p>
    <w:p w:rsidR="00EF5595" w:rsidRPr="00B62849" w:rsidRDefault="00EF5595" w:rsidP="00B62849">
      <w:pPr>
        <w:pStyle w:val="NoSpacing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B62849">
        <w:rPr>
          <w:rFonts w:ascii="Arial" w:hAnsi="Arial" w:cs="Arial"/>
          <w:shd w:val="clear" w:color="auto" w:fill="FFFFFF"/>
        </w:rPr>
        <w:t>Partnership development: To provide regular weekly updates until December</w:t>
      </w:r>
    </w:p>
    <w:p w:rsidR="00D47DBE" w:rsidRDefault="00D47DBE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EF5595" w:rsidRDefault="00EF5595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Compensation</w:t>
      </w:r>
    </w:p>
    <w:p w:rsidR="00AD45A9" w:rsidRDefault="00D53E85" w:rsidP="000C563A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>The total</w:t>
      </w:r>
      <w:r w:rsidR="005C24CC" w:rsidRPr="005C24CC">
        <w:rPr>
          <w:rFonts w:ascii="Arial" w:hAnsi="Arial" w:cs="Arial"/>
          <w:color w:val="222222"/>
          <w:shd w:val="clear" w:color="auto" w:fill="FFFFFF"/>
        </w:rPr>
        <w:t xml:space="preserve"> fee of USD 5,000</w:t>
      </w:r>
      <w:r w:rsidR="00A56A8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56A89" w:rsidRPr="00A56A89">
        <w:rPr>
          <w:rFonts w:ascii="Arial" w:hAnsi="Arial" w:cs="Arial"/>
          <w:color w:val="222222"/>
          <w:shd w:val="clear" w:color="auto" w:fill="FFFFFF"/>
        </w:rPr>
        <w:t>will be paid to the consultant</w:t>
      </w:r>
      <w:r w:rsidR="00B6284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83753">
        <w:rPr>
          <w:rFonts w:ascii="Arial" w:eastAsia="Times New Roman" w:hAnsi="Arial" w:cs="Arial"/>
        </w:rPr>
        <w:t xml:space="preserve">upon completion of the deliverables and submission of an invoice to </w:t>
      </w:r>
      <w:hyperlink r:id="rId5" w:history="1">
        <w:r w:rsidRPr="005354C1">
          <w:rPr>
            <w:rStyle w:val="Hyperlink"/>
            <w:rFonts w:ascii="Arial" w:eastAsia="Times New Roman" w:hAnsi="Arial" w:cs="Arial"/>
          </w:rPr>
          <w:t>rajvi.mehta@accessh.org</w:t>
        </w:r>
      </w:hyperlink>
      <w:r w:rsidRPr="00683753">
        <w:rPr>
          <w:rFonts w:ascii="Arial" w:eastAsia="Times New Roman" w:hAnsi="Arial" w:cs="Arial"/>
        </w:rPr>
        <w:t>.</w:t>
      </w:r>
    </w:p>
    <w:p w:rsidR="00D53E85" w:rsidRPr="00683753" w:rsidRDefault="00D53E85" w:rsidP="00D53E85">
      <w:pPr>
        <w:adjustRightInd w:val="0"/>
        <w:rPr>
          <w:rFonts w:ascii="Arial" w:eastAsia="Times New Roman" w:hAnsi="Arial" w:cs="Arial"/>
        </w:rPr>
      </w:pPr>
      <w:r w:rsidRPr="00683753">
        <w:rPr>
          <w:rFonts w:ascii="Arial" w:eastAsia="Times New Roman" w:hAnsi="Arial" w:cs="Arial"/>
        </w:rPr>
        <w:t>The payment shall be made from the parent Entity ACCESS Health International, INC from the dedicated account kept for ACCESS Health International Southeast Asia Ltd JP Morgan Bank USA.</w:t>
      </w:r>
    </w:p>
    <w:p w:rsidR="00D53E85" w:rsidRDefault="00D53E85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AD45A9" w:rsidRDefault="00AD45A9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AD45A9" w:rsidRDefault="00AD45A9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AD45A9" w:rsidRDefault="00AD45A9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AD45A9" w:rsidRDefault="00AD45A9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AD45A9" w:rsidRDefault="00AD45A9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AD45A9" w:rsidRDefault="00AD45A9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AD45A9" w:rsidRDefault="00AD45A9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AD45A9" w:rsidRDefault="00AD45A9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AD45A9" w:rsidRDefault="00AD45A9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577FBF" w:rsidRDefault="00577FBF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AD45A9" w:rsidRPr="00B62849" w:rsidRDefault="00B62849" w:rsidP="000C563A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B62849">
        <w:rPr>
          <w:rFonts w:ascii="Arial" w:hAnsi="Arial" w:cs="Arial"/>
          <w:color w:val="222222"/>
          <w:shd w:val="clear" w:color="auto" w:fill="FFFFFF"/>
        </w:rPr>
        <w:lastRenderedPageBreak/>
        <w:t>Please note: ACCESS Health will provide templates for all deliverables described below.</w:t>
      </w:r>
    </w:p>
    <w:tbl>
      <w:tblPr>
        <w:tblW w:w="0" w:type="auto"/>
        <w:tblInd w:w="1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86"/>
        <w:gridCol w:w="2278"/>
      </w:tblGrid>
      <w:tr w:rsidR="00AD45A9" w:rsidRPr="00E92EF4" w:rsidTr="00653342">
        <w:trPr>
          <w:trHeight w:val="311"/>
        </w:trPr>
        <w:tc>
          <w:tcPr>
            <w:tcW w:w="90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D45A9" w:rsidRPr="00E92EF4" w:rsidRDefault="00AD45A9" w:rsidP="00653342">
            <w:pPr>
              <w:pStyle w:val="TableParagraph"/>
              <w:spacing w:before="18"/>
              <w:ind w:left="791"/>
              <w:rPr>
                <w:rFonts w:ascii="Arial" w:hAnsi="Arial" w:cs="Arial"/>
                <w:b/>
              </w:rPr>
            </w:pPr>
            <w:r w:rsidRPr="00E92EF4">
              <w:rPr>
                <w:rFonts w:ascii="Arial" w:hAnsi="Arial" w:cs="Arial"/>
                <w:b/>
                <w:color w:val="F0F0F0"/>
              </w:rPr>
              <w:t>Scope: Research on CVD policy landscape in Indonesia for APACCVD</w:t>
            </w:r>
            <w:r w:rsidR="00CF6C6A" w:rsidRPr="00E92EF4">
              <w:rPr>
                <w:rFonts w:ascii="Arial" w:hAnsi="Arial" w:cs="Arial"/>
                <w:b/>
                <w:color w:val="F0F0F0"/>
              </w:rPr>
              <w:t xml:space="preserve"> </w:t>
            </w:r>
            <w:r w:rsidRPr="00E92EF4">
              <w:rPr>
                <w:rFonts w:ascii="Arial" w:hAnsi="Arial" w:cs="Arial"/>
                <w:b/>
                <w:color w:val="F0F0F0"/>
              </w:rPr>
              <w:t>Alliance</w:t>
            </w:r>
          </w:p>
        </w:tc>
      </w:tr>
      <w:tr w:rsidR="00AD45A9" w:rsidRPr="00E92EF4" w:rsidTr="00653342">
        <w:trPr>
          <w:trHeight w:val="251"/>
        </w:trPr>
        <w:tc>
          <w:tcPr>
            <w:tcW w:w="6786" w:type="dxa"/>
            <w:tcBorders>
              <w:top w:val="nil"/>
            </w:tcBorders>
            <w:shd w:val="clear" w:color="auto" w:fill="D9D9D9"/>
          </w:tcPr>
          <w:p w:rsidR="00AD45A9" w:rsidRPr="00E92EF4" w:rsidRDefault="00AD45A9" w:rsidP="00E92EF4">
            <w:pPr>
              <w:pStyle w:val="TableParagraph"/>
              <w:spacing w:line="230" w:lineRule="exact"/>
              <w:ind w:right="3055"/>
              <w:jc w:val="center"/>
              <w:rPr>
                <w:rFonts w:ascii="Arial" w:hAnsi="Arial" w:cs="Arial"/>
                <w:b/>
              </w:rPr>
            </w:pPr>
            <w:r w:rsidRPr="00E92EF4">
              <w:rPr>
                <w:rFonts w:ascii="Arial" w:hAnsi="Arial" w:cs="Arial"/>
                <w:b/>
              </w:rPr>
              <w:t>Tasks</w:t>
            </w:r>
          </w:p>
        </w:tc>
        <w:tc>
          <w:tcPr>
            <w:tcW w:w="2278" w:type="dxa"/>
            <w:tcBorders>
              <w:top w:val="nil"/>
            </w:tcBorders>
            <w:shd w:val="clear" w:color="auto" w:fill="D9D9D9"/>
          </w:tcPr>
          <w:p w:rsidR="00AD45A9" w:rsidRPr="00E92EF4" w:rsidRDefault="00AD45A9" w:rsidP="00653342">
            <w:pPr>
              <w:pStyle w:val="TableParagraph"/>
              <w:spacing w:line="230" w:lineRule="exact"/>
              <w:ind w:left="523" w:right="470"/>
              <w:jc w:val="center"/>
              <w:rPr>
                <w:rFonts w:ascii="Arial" w:hAnsi="Arial" w:cs="Arial"/>
                <w:b/>
              </w:rPr>
            </w:pPr>
            <w:r w:rsidRPr="00E92EF4">
              <w:rPr>
                <w:rFonts w:ascii="Arial" w:hAnsi="Arial" w:cs="Arial"/>
                <w:b/>
              </w:rPr>
              <w:t>Amount</w:t>
            </w:r>
            <w:r w:rsidR="00CF6C6A" w:rsidRPr="00E92EF4">
              <w:rPr>
                <w:rFonts w:ascii="Arial" w:hAnsi="Arial" w:cs="Arial"/>
                <w:b/>
              </w:rPr>
              <w:t xml:space="preserve"> </w:t>
            </w:r>
            <w:r w:rsidRPr="00E92EF4">
              <w:rPr>
                <w:rFonts w:ascii="Arial" w:hAnsi="Arial" w:cs="Arial"/>
                <w:b/>
              </w:rPr>
              <w:t>US$</w:t>
            </w:r>
          </w:p>
        </w:tc>
      </w:tr>
      <w:tr w:rsidR="00AD45A9" w:rsidRPr="00E92EF4" w:rsidTr="00653342">
        <w:trPr>
          <w:trHeight w:val="7342"/>
        </w:trPr>
        <w:tc>
          <w:tcPr>
            <w:tcW w:w="6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5A9" w:rsidRPr="00E92EF4" w:rsidRDefault="00AD45A9" w:rsidP="00653342">
            <w:pPr>
              <w:pStyle w:val="TableParagraph"/>
              <w:spacing w:line="242" w:lineRule="exact"/>
              <w:ind w:left="131"/>
              <w:rPr>
                <w:rFonts w:ascii="Arial" w:hAnsi="Arial" w:cs="Arial"/>
                <w:b/>
              </w:rPr>
            </w:pPr>
            <w:r w:rsidRPr="00E92EF4">
              <w:rPr>
                <w:rFonts w:ascii="Arial" w:hAnsi="Arial" w:cs="Arial"/>
                <w:b/>
              </w:rPr>
              <w:t>Research</w:t>
            </w:r>
            <w:r w:rsidR="0088757F" w:rsidRPr="00E92EF4">
              <w:rPr>
                <w:rFonts w:ascii="Arial" w:hAnsi="Arial" w:cs="Arial"/>
                <w:b/>
              </w:rPr>
              <w:t xml:space="preserve"> </w:t>
            </w:r>
            <w:r w:rsidRPr="00E92EF4">
              <w:rPr>
                <w:rFonts w:ascii="Arial" w:hAnsi="Arial" w:cs="Arial"/>
                <w:b/>
              </w:rPr>
              <w:t>on</w:t>
            </w:r>
            <w:r w:rsidR="0088757F" w:rsidRPr="00E92EF4">
              <w:rPr>
                <w:rFonts w:ascii="Arial" w:hAnsi="Arial" w:cs="Arial"/>
                <w:b/>
              </w:rPr>
              <w:t xml:space="preserve"> </w:t>
            </w:r>
            <w:r w:rsidRPr="00E92EF4">
              <w:rPr>
                <w:rFonts w:ascii="Arial" w:hAnsi="Arial" w:cs="Arial"/>
                <w:b/>
              </w:rPr>
              <w:t>Country</w:t>
            </w:r>
            <w:r w:rsidR="0088757F" w:rsidRPr="00E92EF4">
              <w:rPr>
                <w:rFonts w:ascii="Arial" w:hAnsi="Arial" w:cs="Arial"/>
                <w:b/>
              </w:rPr>
              <w:t xml:space="preserve"> </w:t>
            </w:r>
            <w:r w:rsidRPr="00E92EF4">
              <w:rPr>
                <w:rFonts w:ascii="Arial" w:hAnsi="Arial" w:cs="Arial"/>
                <w:b/>
              </w:rPr>
              <w:t>profile</w:t>
            </w:r>
          </w:p>
          <w:p w:rsidR="00AD45A9" w:rsidRPr="00E92EF4" w:rsidRDefault="00AD45A9" w:rsidP="00653342">
            <w:pPr>
              <w:pStyle w:val="TableParagraph"/>
              <w:spacing w:before="1"/>
              <w:ind w:left="131"/>
              <w:rPr>
                <w:rFonts w:ascii="Arial" w:hAnsi="Arial" w:cs="Arial"/>
              </w:rPr>
            </w:pPr>
            <w:r w:rsidRPr="00E92EF4">
              <w:rPr>
                <w:rFonts w:ascii="Arial" w:hAnsi="Arial" w:cs="Arial"/>
              </w:rPr>
              <w:t>This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initial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research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and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analysis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will contextualize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the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state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of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CVD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in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Indonesia:</w:t>
            </w:r>
          </w:p>
          <w:p w:rsidR="00AD45A9" w:rsidRPr="00E92EF4" w:rsidRDefault="00AD45A9" w:rsidP="00653342">
            <w:pPr>
              <w:pStyle w:val="TableParagraph"/>
              <w:spacing w:before="2"/>
              <w:rPr>
                <w:rFonts w:ascii="Arial" w:hAnsi="Arial" w:cs="Arial"/>
              </w:rPr>
            </w:pPr>
          </w:p>
          <w:p w:rsidR="00AD45A9" w:rsidRPr="00E92EF4" w:rsidRDefault="00AD45A9" w:rsidP="00653342">
            <w:pPr>
              <w:pStyle w:val="TableParagraph"/>
              <w:ind w:left="131" w:right="119"/>
              <w:rPr>
                <w:rFonts w:ascii="Arial" w:hAnsi="Arial" w:cs="Arial"/>
              </w:rPr>
            </w:pPr>
            <w:r w:rsidRPr="00E92EF4">
              <w:rPr>
                <w:rFonts w:ascii="Arial" w:hAnsi="Arial" w:cs="Arial"/>
              </w:rPr>
              <w:t>Conduct structured secondary research using both peer reviewed and grey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literature, including scientific articles, policy papers, and white papers or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industry papers, with a focus on national policies, programs, and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monitoring systems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that address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the various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aspects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of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heart</w:t>
            </w:r>
            <w:r w:rsidR="0088757F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health.</w:t>
            </w:r>
          </w:p>
          <w:p w:rsidR="00AD45A9" w:rsidRPr="00E92EF4" w:rsidRDefault="00AD45A9" w:rsidP="00653342">
            <w:pPr>
              <w:pStyle w:val="TableParagraph"/>
              <w:spacing w:before="9"/>
              <w:rPr>
                <w:rFonts w:ascii="Arial" w:hAnsi="Arial" w:cs="Arial"/>
                <w:sz w:val="21"/>
              </w:rPr>
            </w:pPr>
          </w:p>
          <w:p w:rsidR="00AD45A9" w:rsidRPr="00E92EF4" w:rsidRDefault="00AD45A9" w:rsidP="00653342">
            <w:pPr>
              <w:pStyle w:val="TableParagraph"/>
              <w:ind w:left="131" w:right="729"/>
              <w:jc w:val="both"/>
              <w:rPr>
                <w:rFonts w:ascii="Arial" w:hAnsi="Arial" w:cs="Arial"/>
              </w:rPr>
            </w:pPr>
            <w:r w:rsidRPr="00E92EF4">
              <w:rPr>
                <w:rFonts w:ascii="Arial" w:hAnsi="Arial" w:cs="Arial"/>
              </w:rPr>
              <w:t>Identify gaps in policy &amp; program implementation, monitoring and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evaluation. A template with specific questions will be provided for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information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capturing.</w:t>
            </w:r>
          </w:p>
          <w:p w:rsidR="00AD45A9" w:rsidRPr="00E92EF4" w:rsidRDefault="00AD45A9" w:rsidP="00653342">
            <w:pPr>
              <w:pStyle w:val="TableParagraph"/>
              <w:spacing w:before="1"/>
              <w:rPr>
                <w:rFonts w:ascii="Arial" w:hAnsi="Arial" w:cs="Arial"/>
              </w:rPr>
            </w:pPr>
          </w:p>
          <w:p w:rsidR="00AD45A9" w:rsidRPr="00E92EF4" w:rsidRDefault="00AD45A9" w:rsidP="00653342">
            <w:pPr>
              <w:pStyle w:val="TableParagraph"/>
              <w:ind w:left="131"/>
              <w:jc w:val="both"/>
              <w:rPr>
                <w:rFonts w:ascii="Arial" w:hAnsi="Arial" w:cs="Arial"/>
              </w:rPr>
            </w:pPr>
            <w:r w:rsidRPr="00E92EF4">
              <w:rPr>
                <w:rFonts w:ascii="Arial" w:hAnsi="Arial" w:cs="Arial"/>
              </w:rPr>
              <w:t>The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areas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these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will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fall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into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areas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follows:</w:t>
            </w:r>
          </w:p>
          <w:p w:rsidR="00AD45A9" w:rsidRPr="00E92EF4" w:rsidRDefault="00AD45A9" w:rsidP="00653342">
            <w:pPr>
              <w:pStyle w:val="TableParagraph"/>
              <w:spacing w:before="10"/>
              <w:rPr>
                <w:rFonts w:ascii="Arial" w:hAnsi="Arial" w:cs="Arial"/>
                <w:sz w:val="21"/>
              </w:rPr>
            </w:pPr>
          </w:p>
          <w:p w:rsidR="00AD45A9" w:rsidRPr="00E92EF4" w:rsidRDefault="00AD45A9" w:rsidP="00AD45A9">
            <w:pPr>
              <w:pStyle w:val="TableParagraph"/>
              <w:numPr>
                <w:ilvl w:val="0"/>
                <w:numId w:val="2"/>
              </w:numPr>
              <w:tabs>
                <w:tab w:val="left" w:pos="852"/>
              </w:tabs>
              <w:jc w:val="both"/>
              <w:rPr>
                <w:rFonts w:ascii="Arial" w:hAnsi="Arial" w:cs="Arial"/>
                <w:b/>
              </w:rPr>
            </w:pPr>
            <w:r w:rsidRPr="00E92EF4">
              <w:rPr>
                <w:rFonts w:ascii="Arial" w:hAnsi="Arial" w:cs="Arial"/>
                <w:b/>
              </w:rPr>
              <w:t>Country</w:t>
            </w:r>
            <w:r w:rsidR="004D2ACC" w:rsidRPr="00E92EF4">
              <w:rPr>
                <w:rFonts w:ascii="Arial" w:hAnsi="Arial" w:cs="Arial"/>
                <w:b/>
              </w:rPr>
              <w:t xml:space="preserve"> </w:t>
            </w:r>
            <w:r w:rsidRPr="00E92EF4">
              <w:rPr>
                <w:rFonts w:ascii="Arial" w:hAnsi="Arial" w:cs="Arial"/>
                <w:b/>
              </w:rPr>
              <w:t>health</w:t>
            </w:r>
            <w:r w:rsidR="004D2ACC" w:rsidRPr="00E92EF4">
              <w:rPr>
                <w:rFonts w:ascii="Arial" w:hAnsi="Arial" w:cs="Arial"/>
                <w:b/>
              </w:rPr>
              <w:t xml:space="preserve"> </w:t>
            </w:r>
            <w:r w:rsidRPr="00E92EF4">
              <w:rPr>
                <w:rFonts w:ascii="Arial" w:hAnsi="Arial" w:cs="Arial"/>
                <w:b/>
              </w:rPr>
              <w:t>indicators</w:t>
            </w:r>
          </w:p>
          <w:p w:rsidR="00AD45A9" w:rsidRPr="00E92EF4" w:rsidRDefault="00AD45A9" w:rsidP="00AD45A9">
            <w:pPr>
              <w:pStyle w:val="TableParagraph"/>
              <w:numPr>
                <w:ilvl w:val="1"/>
                <w:numId w:val="2"/>
              </w:numPr>
              <w:tabs>
                <w:tab w:val="left" w:pos="1572"/>
              </w:tabs>
              <w:spacing w:before="2"/>
              <w:ind w:right="248"/>
              <w:jc w:val="both"/>
              <w:rPr>
                <w:rFonts w:ascii="Arial" w:hAnsi="Arial" w:cs="Arial"/>
              </w:rPr>
            </w:pPr>
            <w:r w:rsidRPr="00E92EF4">
              <w:rPr>
                <w:rFonts w:ascii="Arial" w:hAnsi="Arial" w:cs="Arial"/>
              </w:rPr>
              <w:t>Tabulate highlighted country health indicators for CVD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(template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provided,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spreadsheet)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based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on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your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research.</w:t>
            </w:r>
          </w:p>
          <w:p w:rsidR="00AD45A9" w:rsidRPr="00E92EF4" w:rsidRDefault="00AD45A9" w:rsidP="00653342">
            <w:pPr>
              <w:pStyle w:val="TableParagraph"/>
              <w:spacing w:before="11"/>
              <w:rPr>
                <w:rFonts w:ascii="Arial" w:hAnsi="Arial" w:cs="Arial"/>
                <w:sz w:val="21"/>
              </w:rPr>
            </w:pPr>
          </w:p>
          <w:p w:rsidR="00AD45A9" w:rsidRPr="00E92EF4" w:rsidRDefault="00AD45A9" w:rsidP="00AD45A9">
            <w:pPr>
              <w:pStyle w:val="TableParagraph"/>
              <w:numPr>
                <w:ilvl w:val="0"/>
                <w:numId w:val="2"/>
              </w:numPr>
              <w:tabs>
                <w:tab w:val="left" w:pos="852"/>
              </w:tabs>
              <w:jc w:val="both"/>
              <w:rPr>
                <w:rFonts w:ascii="Arial" w:hAnsi="Arial" w:cs="Arial"/>
                <w:b/>
              </w:rPr>
            </w:pPr>
            <w:r w:rsidRPr="00E92EF4">
              <w:rPr>
                <w:rFonts w:ascii="Arial" w:hAnsi="Arial" w:cs="Arial"/>
                <w:b/>
              </w:rPr>
              <w:t>Monitoring</w:t>
            </w:r>
            <w:r w:rsidR="004D2ACC" w:rsidRPr="00E92EF4">
              <w:rPr>
                <w:rFonts w:ascii="Arial" w:hAnsi="Arial" w:cs="Arial"/>
                <w:b/>
              </w:rPr>
              <w:t xml:space="preserve"> </w:t>
            </w:r>
            <w:r w:rsidRPr="00E92EF4">
              <w:rPr>
                <w:rFonts w:ascii="Arial" w:hAnsi="Arial" w:cs="Arial"/>
                <w:b/>
              </w:rPr>
              <w:t>and</w:t>
            </w:r>
            <w:r w:rsidR="004D2ACC" w:rsidRPr="00E92EF4">
              <w:rPr>
                <w:rFonts w:ascii="Arial" w:hAnsi="Arial" w:cs="Arial"/>
                <w:b/>
              </w:rPr>
              <w:t xml:space="preserve"> </w:t>
            </w:r>
            <w:r w:rsidRPr="00E92EF4">
              <w:rPr>
                <w:rFonts w:ascii="Arial" w:hAnsi="Arial" w:cs="Arial"/>
                <w:b/>
              </w:rPr>
              <w:t>Evaluation</w:t>
            </w:r>
          </w:p>
          <w:p w:rsidR="00AD45A9" w:rsidRPr="00E92EF4" w:rsidRDefault="00AD45A9" w:rsidP="00AD45A9">
            <w:pPr>
              <w:pStyle w:val="TableParagraph"/>
              <w:numPr>
                <w:ilvl w:val="1"/>
                <w:numId w:val="2"/>
              </w:numPr>
              <w:tabs>
                <w:tab w:val="left" w:pos="1572"/>
              </w:tabs>
              <w:spacing w:before="1"/>
              <w:ind w:right="347"/>
              <w:jc w:val="both"/>
              <w:rPr>
                <w:rFonts w:ascii="Arial" w:hAnsi="Arial" w:cs="Arial"/>
              </w:rPr>
            </w:pPr>
            <w:r w:rsidRPr="00E92EF4">
              <w:rPr>
                <w:rFonts w:ascii="Arial" w:hAnsi="Arial" w:cs="Arial"/>
              </w:rPr>
              <w:t>Health promotion: What is the participation rate? What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results have been achieved? Are there regular audits of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programs?</w:t>
            </w:r>
          </w:p>
          <w:p w:rsidR="00AD45A9" w:rsidRPr="00E92EF4" w:rsidRDefault="00AD45A9" w:rsidP="00AD45A9">
            <w:pPr>
              <w:pStyle w:val="TableParagraph"/>
              <w:numPr>
                <w:ilvl w:val="1"/>
                <w:numId w:val="2"/>
              </w:numPr>
              <w:tabs>
                <w:tab w:val="left" w:pos="1571"/>
                <w:tab w:val="left" w:pos="1572"/>
              </w:tabs>
              <w:ind w:right="536" w:hanging="538"/>
              <w:rPr>
                <w:rFonts w:ascii="Arial" w:hAnsi="Arial" w:cs="Arial"/>
              </w:rPr>
            </w:pPr>
            <w:r w:rsidRPr="00E92EF4">
              <w:rPr>
                <w:rFonts w:ascii="Arial" w:hAnsi="Arial" w:cs="Arial"/>
              </w:rPr>
              <w:t>CVD Awareness: Are there any programs to monitor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awareness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of CVD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on a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periodic basis?</w:t>
            </w:r>
          </w:p>
          <w:p w:rsidR="00AD45A9" w:rsidRPr="00E92EF4" w:rsidRDefault="00AD45A9" w:rsidP="00AD45A9">
            <w:pPr>
              <w:pStyle w:val="TableParagraph"/>
              <w:numPr>
                <w:ilvl w:val="1"/>
                <w:numId w:val="2"/>
              </w:numPr>
              <w:tabs>
                <w:tab w:val="left" w:pos="1571"/>
                <w:tab w:val="left" w:pos="1572"/>
              </w:tabs>
              <w:spacing w:before="4" w:line="235" w:lineRule="auto"/>
              <w:ind w:right="101" w:hanging="598"/>
              <w:rPr>
                <w:rFonts w:ascii="Arial" w:hAnsi="Arial" w:cs="Arial"/>
              </w:rPr>
            </w:pPr>
            <w:r w:rsidRPr="00E92EF4">
              <w:rPr>
                <w:rFonts w:ascii="Arial" w:hAnsi="Arial" w:cs="Arial"/>
              </w:rPr>
              <w:t>CVD Screening: What is the participation rate? What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results have been achieved? Are there regular audits of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programs?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Gaps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and</w:t>
            </w:r>
            <w:r w:rsid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challenges?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Are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any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indicators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being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used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to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track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CVD</w:t>
            </w:r>
            <w:r w:rsidR="004D2ACC" w:rsidRPr="00E92EF4">
              <w:rPr>
                <w:rFonts w:ascii="Arial" w:hAnsi="Arial" w:cs="Arial"/>
              </w:rPr>
              <w:t xml:space="preserve"> </w:t>
            </w:r>
            <w:r w:rsidRPr="00E92EF4">
              <w:rPr>
                <w:rFonts w:ascii="Arial" w:hAnsi="Arial" w:cs="Arial"/>
              </w:rPr>
              <w:t>awareness?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5A9" w:rsidRPr="00E92EF4" w:rsidRDefault="00AD45A9" w:rsidP="00653342">
            <w:pPr>
              <w:pStyle w:val="TableParagraph"/>
              <w:spacing w:line="242" w:lineRule="exact"/>
              <w:ind w:left="974" w:right="924"/>
              <w:jc w:val="center"/>
              <w:rPr>
                <w:rFonts w:ascii="Arial" w:hAnsi="Arial" w:cs="Arial"/>
              </w:rPr>
            </w:pPr>
            <w:r w:rsidRPr="00E92EF4">
              <w:rPr>
                <w:rFonts w:ascii="Arial" w:hAnsi="Arial" w:cs="Arial"/>
              </w:rPr>
              <w:t>500</w:t>
            </w:r>
          </w:p>
        </w:tc>
      </w:tr>
    </w:tbl>
    <w:p w:rsidR="00AD45A9" w:rsidRDefault="00AD45A9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</w:p>
    <w:p w:rsidR="000C563A" w:rsidRPr="000C563A" w:rsidRDefault="000C563A" w:rsidP="000C563A">
      <w:pPr>
        <w:shd w:val="clear" w:color="auto" w:fill="FFFFFF"/>
        <w:rPr>
          <w:rFonts w:ascii="Arial" w:hAnsi="Arial" w:cs="Arial"/>
          <w:b/>
          <w:color w:val="222222"/>
          <w:shd w:val="clear" w:color="auto" w:fill="FFFFFF"/>
        </w:rPr>
      </w:pPr>
      <w:r w:rsidRPr="000C563A">
        <w:rPr>
          <w:rFonts w:ascii="Arial" w:hAnsi="Arial" w:cs="Arial"/>
          <w:b/>
          <w:color w:val="222222"/>
          <w:shd w:val="clear" w:color="auto" w:fill="FFFFFF"/>
        </w:rPr>
        <w:t>Term</w:t>
      </w:r>
    </w:p>
    <w:p w:rsidR="000C563A" w:rsidRPr="0002654A" w:rsidRDefault="000C563A" w:rsidP="000C563A">
      <w:pPr>
        <w:shd w:val="clear" w:color="auto" w:fill="FFFFFF"/>
        <w:spacing w:line="235" w:lineRule="atLeast"/>
        <w:rPr>
          <w:rFonts w:ascii="Arial" w:hAnsi="Arial" w:cs="Arial"/>
          <w:b/>
          <w:color w:val="000000" w:themeColor="text1"/>
          <w:lang w:eastAsia="en-GB"/>
        </w:rPr>
      </w:pPr>
      <w:r w:rsidRPr="0002654A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3D115D">
        <w:rPr>
          <w:rFonts w:ascii="Arial" w:hAnsi="Arial" w:cs="Arial"/>
          <w:b/>
        </w:rPr>
        <w:t>April 24</w:t>
      </w:r>
      <w:r w:rsidRPr="0002654A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3</w:t>
      </w:r>
      <w:r w:rsidRPr="0002654A">
        <w:rPr>
          <w:rFonts w:ascii="Arial" w:hAnsi="Arial" w:cs="Arial"/>
        </w:rPr>
        <w:t xml:space="preserve"> to </w:t>
      </w:r>
      <w:r w:rsidR="003D115D">
        <w:rPr>
          <w:rFonts w:ascii="Arial" w:hAnsi="Arial" w:cs="Arial"/>
          <w:b/>
        </w:rPr>
        <w:t>December 29</w:t>
      </w:r>
      <w:r w:rsidRPr="0002654A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3</w:t>
      </w:r>
      <w:r w:rsidRPr="0002654A">
        <w:rPr>
          <w:rFonts w:ascii="Arial" w:hAnsi="Arial" w:cs="Arial"/>
        </w:rPr>
        <w:t>.</w:t>
      </w:r>
    </w:p>
    <w:p w:rsidR="000C563A" w:rsidRPr="0002654A" w:rsidRDefault="000C563A" w:rsidP="000C563A">
      <w:pPr>
        <w:rPr>
          <w:rFonts w:ascii="Arial" w:hAnsi="Arial" w:cs="Arial"/>
          <w:b/>
          <w:bCs/>
        </w:rPr>
      </w:pPr>
    </w:p>
    <w:p w:rsidR="000C563A" w:rsidRPr="0002654A" w:rsidRDefault="000C563A" w:rsidP="000C563A">
      <w:pPr>
        <w:spacing w:after="138" w:line="259" w:lineRule="auto"/>
        <w:rPr>
          <w:rFonts w:ascii="Arial" w:hAnsi="Arial" w:cs="Arial"/>
          <w:b/>
        </w:rPr>
      </w:pPr>
    </w:p>
    <w:p w:rsidR="000C563A" w:rsidRPr="00A61310" w:rsidRDefault="000C563A" w:rsidP="000C563A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:rsidR="000C563A" w:rsidRPr="000C563A" w:rsidRDefault="000C563A">
      <w:pPr>
        <w:rPr>
          <w:b/>
        </w:rPr>
      </w:pPr>
    </w:p>
    <w:sectPr w:rsidR="000C563A" w:rsidRPr="000C563A" w:rsidSect="0069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F184B"/>
    <w:multiLevelType w:val="hybridMultilevel"/>
    <w:tmpl w:val="4A868ADC"/>
    <w:lvl w:ilvl="0" w:tplc="9940D7B8">
      <w:start w:val="1"/>
      <w:numFmt w:val="lowerLetter"/>
      <w:lvlText w:val="%1."/>
      <w:lvlJc w:val="left"/>
      <w:pPr>
        <w:ind w:left="851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4A88C92">
      <w:start w:val="1"/>
      <w:numFmt w:val="lowerRoman"/>
      <w:lvlText w:val="%2."/>
      <w:lvlJc w:val="left"/>
      <w:pPr>
        <w:ind w:left="1571" w:hanging="4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467A4158">
      <w:numFmt w:val="bullet"/>
      <w:lvlText w:val="•"/>
      <w:lvlJc w:val="left"/>
      <w:pPr>
        <w:ind w:left="2157" w:hanging="478"/>
      </w:pPr>
      <w:rPr>
        <w:rFonts w:hint="default"/>
        <w:lang w:val="en-US" w:eastAsia="en-US" w:bidi="ar-SA"/>
      </w:rPr>
    </w:lvl>
    <w:lvl w:ilvl="3" w:tplc="33D04482">
      <w:numFmt w:val="bullet"/>
      <w:lvlText w:val="•"/>
      <w:lvlJc w:val="left"/>
      <w:pPr>
        <w:ind w:left="2734" w:hanging="478"/>
      </w:pPr>
      <w:rPr>
        <w:rFonts w:hint="default"/>
        <w:lang w:val="en-US" w:eastAsia="en-US" w:bidi="ar-SA"/>
      </w:rPr>
    </w:lvl>
    <w:lvl w:ilvl="4" w:tplc="AD3435AA">
      <w:numFmt w:val="bullet"/>
      <w:lvlText w:val="•"/>
      <w:lvlJc w:val="left"/>
      <w:pPr>
        <w:ind w:left="3312" w:hanging="478"/>
      </w:pPr>
      <w:rPr>
        <w:rFonts w:hint="default"/>
        <w:lang w:val="en-US" w:eastAsia="en-US" w:bidi="ar-SA"/>
      </w:rPr>
    </w:lvl>
    <w:lvl w:ilvl="5" w:tplc="3F02A156">
      <w:numFmt w:val="bullet"/>
      <w:lvlText w:val="•"/>
      <w:lvlJc w:val="left"/>
      <w:pPr>
        <w:ind w:left="3889" w:hanging="478"/>
      </w:pPr>
      <w:rPr>
        <w:rFonts w:hint="default"/>
        <w:lang w:val="en-US" w:eastAsia="en-US" w:bidi="ar-SA"/>
      </w:rPr>
    </w:lvl>
    <w:lvl w:ilvl="6" w:tplc="0ACC973A">
      <w:numFmt w:val="bullet"/>
      <w:lvlText w:val="•"/>
      <w:lvlJc w:val="left"/>
      <w:pPr>
        <w:ind w:left="4466" w:hanging="478"/>
      </w:pPr>
      <w:rPr>
        <w:rFonts w:hint="default"/>
        <w:lang w:val="en-US" w:eastAsia="en-US" w:bidi="ar-SA"/>
      </w:rPr>
    </w:lvl>
    <w:lvl w:ilvl="7" w:tplc="11E0385C">
      <w:numFmt w:val="bullet"/>
      <w:lvlText w:val="•"/>
      <w:lvlJc w:val="left"/>
      <w:pPr>
        <w:ind w:left="5044" w:hanging="478"/>
      </w:pPr>
      <w:rPr>
        <w:rFonts w:hint="default"/>
        <w:lang w:val="en-US" w:eastAsia="en-US" w:bidi="ar-SA"/>
      </w:rPr>
    </w:lvl>
    <w:lvl w:ilvl="8" w:tplc="72E070B4">
      <w:numFmt w:val="bullet"/>
      <w:lvlText w:val="•"/>
      <w:lvlJc w:val="left"/>
      <w:pPr>
        <w:ind w:left="5621" w:hanging="478"/>
      </w:pPr>
      <w:rPr>
        <w:rFonts w:hint="default"/>
        <w:lang w:val="en-US" w:eastAsia="en-US" w:bidi="ar-SA"/>
      </w:rPr>
    </w:lvl>
  </w:abstractNum>
  <w:abstractNum w:abstractNumId="1">
    <w:nsid w:val="1DF0425C"/>
    <w:multiLevelType w:val="hybridMultilevel"/>
    <w:tmpl w:val="BE4A9CEA"/>
    <w:lvl w:ilvl="0" w:tplc="6C78DA2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17907"/>
    <w:multiLevelType w:val="hybridMultilevel"/>
    <w:tmpl w:val="83524550"/>
    <w:lvl w:ilvl="0" w:tplc="804EB4BE">
      <w:start w:val="1"/>
      <w:numFmt w:val="decimal"/>
      <w:lvlText w:val="%1."/>
      <w:lvlJc w:val="left"/>
      <w:pPr>
        <w:ind w:left="860" w:hanging="360"/>
        <w:jc w:val="left"/>
      </w:pPr>
      <w:rPr>
        <w:rFonts w:ascii="Arial" w:eastAsia="Times New Roman" w:hAnsi="Arial" w:cs="Arial" w:hint="default"/>
        <w:w w:val="100"/>
        <w:sz w:val="22"/>
        <w:szCs w:val="22"/>
        <w:lang w:val="en-US" w:eastAsia="en-US" w:bidi="ar-SA"/>
      </w:rPr>
    </w:lvl>
    <w:lvl w:ilvl="1" w:tplc="E06C2E50">
      <w:start w:val="1"/>
      <w:numFmt w:val="lowerLetter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C8C54B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DA3A5B26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284C75D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D3A61AE0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500A1FAA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 w:tplc="39142212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 w:tplc="84E846A4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C563A"/>
    <w:rsid w:val="000C563A"/>
    <w:rsid w:val="00184A89"/>
    <w:rsid w:val="002B3A8A"/>
    <w:rsid w:val="003D115D"/>
    <w:rsid w:val="004D2ACC"/>
    <w:rsid w:val="00577FBF"/>
    <w:rsid w:val="005C24CC"/>
    <w:rsid w:val="0069338C"/>
    <w:rsid w:val="00696556"/>
    <w:rsid w:val="007B04AC"/>
    <w:rsid w:val="0088757F"/>
    <w:rsid w:val="008F69F3"/>
    <w:rsid w:val="00A56A89"/>
    <w:rsid w:val="00AD45A9"/>
    <w:rsid w:val="00B62849"/>
    <w:rsid w:val="00CF6C6A"/>
    <w:rsid w:val="00D47DBE"/>
    <w:rsid w:val="00D53E85"/>
    <w:rsid w:val="00E92EF4"/>
    <w:rsid w:val="00EF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556"/>
  </w:style>
  <w:style w:type="paragraph" w:styleId="Heading1">
    <w:name w:val="heading 1"/>
    <w:basedOn w:val="Normal"/>
    <w:link w:val="Heading1Char"/>
    <w:uiPriority w:val="9"/>
    <w:qFormat/>
    <w:rsid w:val="008F69F3"/>
    <w:pPr>
      <w:widowControl w:val="0"/>
      <w:autoSpaceDE w:val="0"/>
      <w:autoSpaceDN w:val="0"/>
      <w:spacing w:before="104" w:after="0" w:line="240" w:lineRule="auto"/>
      <w:ind w:left="140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F3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rsid w:val="008F69F3"/>
    <w:pPr>
      <w:widowControl w:val="0"/>
      <w:autoSpaceDE w:val="0"/>
      <w:autoSpaceDN w:val="0"/>
      <w:spacing w:after="0" w:line="240" w:lineRule="auto"/>
      <w:ind w:left="860" w:hanging="361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D4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B628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3E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vi.mehta@accessh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15</cp:revision>
  <dcterms:created xsi:type="dcterms:W3CDTF">2023-04-24T11:31:00Z</dcterms:created>
  <dcterms:modified xsi:type="dcterms:W3CDTF">2023-04-24T12:02:00Z</dcterms:modified>
</cp:coreProperties>
</file>