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706B">
      <w:pPr>
        <w:rPr>
          <w:rFonts w:ascii="Book Antiqua" w:hAnsi="Book Antiqua" w:cs="Arial"/>
          <w:b/>
          <w:sz w:val="24"/>
          <w:szCs w:val="24"/>
        </w:rPr>
      </w:pPr>
      <w:r w:rsidRPr="0028706B">
        <w:rPr>
          <w:rFonts w:ascii="Book Antiqua" w:hAnsi="Book Antiqua" w:cs="Arial"/>
          <w:b/>
          <w:sz w:val="24"/>
          <w:szCs w:val="24"/>
        </w:rPr>
        <w:t>Scope of Work</w:t>
      </w:r>
    </w:p>
    <w:p w:rsidR="00DB3782" w:rsidRDefault="00DB3782">
      <w:pPr>
        <w:rPr>
          <w:rFonts w:ascii="Book Antiqua" w:hAnsi="Book Antiqua" w:cs="Arial"/>
          <w:b/>
          <w:sz w:val="24"/>
          <w:szCs w:val="24"/>
        </w:rPr>
      </w:pPr>
      <w:r w:rsidRPr="00DB3782">
        <w:rPr>
          <w:rFonts w:ascii="Book Antiqua" w:hAnsi="Book Antiqua" w:cs="Arial"/>
          <w:b/>
          <w:sz w:val="24"/>
          <w:szCs w:val="24"/>
        </w:rPr>
        <w:t>Pfizer co-creation workshop on private health insurance</w:t>
      </w:r>
      <w:r>
        <w:rPr>
          <w:rFonts w:ascii="Book Antiqua" w:hAnsi="Book Antiqua" w:cs="Arial"/>
          <w:b/>
          <w:sz w:val="24"/>
          <w:szCs w:val="24"/>
        </w:rPr>
        <w:t xml:space="preserve"> </w:t>
      </w:r>
      <w:r w:rsidRPr="00DB3782">
        <w:rPr>
          <w:rFonts w:ascii="Book Antiqua" w:hAnsi="Book Antiqua" w:cs="Arial"/>
          <w:b/>
          <w:sz w:val="24"/>
          <w:szCs w:val="24"/>
        </w:rPr>
        <w:t>innovation</w:t>
      </w:r>
    </w:p>
    <w:p w:rsidR="00F50333" w:rsidRPr="00F50333" w:rsidRDefault="00F50333" w:rsidP="00F50333">
      <w:pPr>
        <w:pStyle w:val="BodyText"/>
        <w:spacing w:before="133" w:line="259" w:lineRule="auto"/>
        <w:ind w:right="130"/>
        <w:rPr>
          <w:rFonts w:ascii="Book Antiqua" w:hAnsi="Book Antiqua"/>
          <w:sz w:val="24"/>
          <w:szCs w:val="24"/>
        </w:rPr>
      </w:pPr>
      <w:r w:rsidRPr="00F50333">
        <w:rPr>
          <w:rFonts w:ascii="Book Antiqua" w:hAnsi="Book Antiqua"/>
          <w:b/>
          <w:sz w:val="24"/>
          <w:szCs w:val="24"/>
        </w:rPr>
        <w:t xml:space="preserve">Project objective: </w:t>
      </w:r>
      <w:r w:rsidRPr="00F50333">
        <w:rPr>
          <w:rFonts w:ascii="Book Antiqua" w:hAnsi="Book Antiqua"/>
          <w:sz w:val="24"/>
          <w:szCs w:val="24"/>
        </w:rPr>
        <w:t>The project aims to improve access to innovative therapies for the B40 and M40populations in Malaysia by launching an innovative insura</w:t>
      </w:r>
      <w:r>
        <w:rPr>
          <w:rFonts w:ascii="Book Antiqua" w:hAnsi="Book Antiqua"/>
          <w:sz w:val="24"/>
          <w:szCs w:val="24"/>
        </w:rPr>
        <w:t xml:space="preserve">nce product. This would require </w:t>
      </w:r>
      <w:r w:rsidRPr="00F50333">
        <w:rPr>
          <w:rFonts w:ascii="Book Antiqua" w:hAnsi="Book Antiqua"/>
          <w:sz w:val="24"/>
          <w:szCs w:val="24"/>
        </w:rPr>
        <w:t>identifying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health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needs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financial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protection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needs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target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population,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assessing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market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feasibility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and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 xml:space="preserve">interest from stakeholders, and facilitating alignment of goals between Pfizer, </w:t>
      </w:r>
      <w:proofErr w:type="spellStart"/>
      <w:r w:rsidRPr="00F50333">
        <w:rPr>
          <w:rFonts w:ascii="Book Antiqua" w:hAnsi="Book Antiqua"/>
          <w:sz w:val="24"/>
          <w:szCs w:val="24"/>
        </w:rPr>
        <w:t>Merchantrade</w:t>
      </w:r>
      <w:proofErr w:type="spellEnd"/>
      <w:r w:rsidRPr="00F50333">
        <w:rPr>
          <w:rFonts w:ascii="Book Antiqua" w:hAnsi="Book Antiqua"/>
          <w:sz w:val="24"/>
          <w:szCs w:val="24"/>
        </w:rPr>
        <w:t>, and other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ecosystem partners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design,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finalize, and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launch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insurance product.</w:t>
      </w:r>
    </w:p>
    <w:p w:rsidR="00F50333" w:rsidRPr="00F50333" w:rsidRDefault="00F50333" w:rsidP="00F50333">
      <w:pPr>
        <w:pStyle w:val="BodyText"/>
        <w:spacing w:before="133" w:line="259" w:lineRule="auto"/>
        <w:ind w:right="130"/>
        <w:jc w:val="both"/>
        <w:rPr>
          <w:rFonts w:ascii="Book Antiqua" w:hAnsi="Book Antiqua"/>
          <w:sz w:val="24"/>
          <w:szCs w:val="24"/>
        </w:rPr>
      </w:pPr>
      <w:r w:rsidRPr="00F50333">
        <w:rPr>
          <w:rFonts w:ascii="Book Antiqua" w:hAnsi="Book Antiqua"/>
          <w:b/>
          <w:sz w:val="24"/>
          <w:szCs w:val="24"/>
        </w:rPr>
        <w:t>Timelines:</w:t>
      </w:r>
    </w:p>
    <w:p w:rsidR="00F50333" w:rsidRPr="00F50333" w:rsidRDefault="00F50333" w:rsidP="00F5033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Book Antiqua" w:hAnsi="Book Antiqua"/>
          <w:sz w:val="24"/>
          <w:szCs w:val="24"/>
        </w:rPr>
      </w:pPr>
      <w:r w:rsidRPr="00F50333">
        <w:rPr>
          <w:rFonts w:ascii="Book Antiqua" w:hAnsi="Book Antiqua"/>
          <w:sz w:val="24"/>
          <w:szCs w:val="24"/>
        </w:rPr>
        <w:t>Planning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co-creation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workshop: April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20,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2023–May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19,2023</w:t>
      </w:r>
    </w:p>
    <w:p w:rsidR="00F50333" w:rsidRPr="00F50333" w:rsidRDefault="00F50333" w:rsidP="00F50333">
      <w:pPr>
        <w:pStyle w:val="ListParagraph"/>
        <w:numPr>
          <w:ilvl w:val="0"/>
          <w:numId w:val="1"/>
        </w:numPr>
        <w:tabs>
          <w:tab w:val="left" w:pos="861"/>
        </w:tabs>
        <w:spacing w:before="18"/>
        <w:ind w:hanging="361"/>
        <w:rPr>
          <w:rFonts w:ascii="Book Antiqua" w:hAnsi="Book Antiqua"/>
          <w:sz w:val="24"/>
          <w:szCs w:val="24"/>
        </w:rPr>
      </w:pPr>
      <w:r w:rsidRPr="00F50333">
        <w:rPr>
          <w:rFonts w:ascii="Book Antiqua" w:hAnsi="Book Antiqua"/>
          <w:sz w:val="24"/>
          <w:szCs w:val="24"/>
        </w:rPr>
        <w:t>Delivery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of 1-day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co-creation workshop: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May21, 2023 – May26, 2023</w:t>
      </w:r>
    </w:p>
    <w:p w:rsidR="00F50333" w:rsidRDefault="00F50333" w:rsidP="00F50333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1"/>
        <w:rPr>
          <w:rFonts w:ascii="Book Antiqua" w:hAnsi="Book Antiqua"/>
          <w:sz w:val="24"/>
          <w:szCs w:val="24"/>
        </w:rPr>
      </w:pPr>
      <w:r w:rsidRPr="00F50333">
        <w:rPr>
          <w:rFonts w:ascii="Book Antiqua" w:hAnsi="Book Antiqua"/>
          <w:sz w:val="24"/>
          <w:szCs w:val="24"/>
        </w:rPr>
        <w:t>Development of partnership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road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map: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June2,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2023 –June 9,</w:t>
      </w:r>
      <w:r>
        <w:rPr>
          <w:rFonts w:ascii="Book Antiqua" w:hAnsi="Book Antiqua"/>
          <w:sz w:val="24"/>
          <w:szCs w:val="24"/>
        </w:rPr>
        <w:t xml:space="preserve"> </w:t>
      </w:r>
      <w:r w:rsidRPr="00F50333">
        <w:rPr>
          <w:rFonts w:ascii="Book Antiqua" w:hAnsi="Book Antiqua"/>
          <w:sz w:val="24"/>
          <w:szCs w:val="24"/>
        </w:rPr>
        <w:t>2023</w:t>
      </w:r>
    </w:p>
    <w:p w:rsidR="003F6033" w:rsidRDefault="003F6033" w:rsidP="003F6033">
      <w:pPr>
        <w:tabs>
          <w:tab w:val="left" w:pos="861"/>
        </w:tabs>
        <w:spacing w:before="20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86"/>
        <w:gridCol w:w="2276"/>
      </w:tblGrid>
      <w:tr w:rsidR="003F6033" w:rsidRPr="003F6033" w:rsidTr="00EA1395">
        <w:trPr>
          <w:trHeight w:val="563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F6033" w:rsidRPr="003F6033" w:rsidRDefault="003F6033" w:rsidP="00EA1395">
            <w:pPr>
              <w:pStyle w:val="TableParagraph"/>
              <w:spacing w:before="27"/>
              <w:ind w:left="3168" w:right="328" w:hanging="2802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color w:val="F1F1F1"/>
                <w:sz w:val="24"/>
                <w:szCs w:val="24"/>
              </w:rPr>
              <w:t>Scope: Advisory and Facilitation of Pfizer co-creation workshop in Malaysia to design an</w:t>
            </w:r>
            <w:r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color w:val="F1F1F1"/>
                <w:sz w:val="24"/>
                <w:szCs w:val="24"/>
              </w:rPr>
              <w:t>innovative</w:t>
            </w:r>
            <w:r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color w:val="F1F1F1"/>
                <w:sz w:val="24"/>
                <w:szCs w:val="24"/>
              </w:rPr>
              <w:t>insurance product</w:t>
            </w:r>
          </w:p>
        </w:tc>
      </w:tr>
      <w:tr w:rsidR="003F6033" w:rsidRPr="003F6033" w:rsidTr="00EA1395">
        <w:trPr>
          <w:trHeight w:val="505"/>
        </w:trPr>
        <w:tc>
          <w:tcPr>
            <w:tcW w:w="6786" w:type="dxa"/>
            <w:tcBorders>
              <w:top w:val="nil"/>
            </w:tcBorders>
            <w:shd w:val="clear" w:color="auto" w:fill="D9D9D9"/>
          </w:tcPr>
          <w:p w:rsidR="003F6033" w:rsidRPr="003F6033" w:rsidRDefault="00987069" w:rsidP="00987069">
            <w:pPr>
              <w:pStyle w:val="TableParagraph"/>
              <w:spacing w:before="126"/>
              <w:ind w:right="307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Task</w:t>
            </w:r>
            <w:r w:rsidR="003F6033" w:rsidRPr="003F6033">
              <w:rPr>
                <w:rFonts w:ascii="Book Antiqua" w:hAnsi="Book Antiqua"/>
                <w:b/>
                <w:sz w:val="24"/>
                <w:szCs w:val="24"/>
              </w:rPr>
              <w:t>s</w:t>
            </w:r>
          </w:p>
        </w:tc>
        <w:tc>
          <w:tcPr>
            <w:tcW w:w="2276" w:type="dxa"/>
            <w:tcBorders>
              <w:top w:val="nil"/>
            </w:tcBorders>
            <w:shd w:val="clear" w:color="auto" w:fill="D9D9D9"/>
          </w:tcPr>
          <w:p w:rsidR="003F6033" w:rsidRPr="003F6033" w:rsidRDefault="003F6033" w:rsidP="00987069">
            <w:pPr>
              <w:pStyle w:val="TableParagraph"/>
              <w:spacing w:line="254" w:lineRule="exact"/>
              <w:ind w:left="238" w:right="197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sz w:val="24"/>
                <w:szCs w:val="24"/>
              </w:rPr>
              <w:t>Estimated business</w:t>
            </w:r>
            <w:r w:rsidR="00987069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days</w:t>
            </w:r>
          </w:p>
        </w:tc>
      </w:tr>
      <w:tr w:rsidR="003F6033" w:rsidRPr="003F6033" w:rsidTr="00EA1395">
        <w:trPr>
          <w:trHeight w:val="1263"/>
        </w:trPr>
        <w:tc>
          <w:tcPr>
            <w:tcW w:w="6786" w:type="dxa"/>
            <w:tcBorders>
              <w:left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51" w:lineRule="exact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sz w:val="24"/>
                <w:szCs w:val="24"/>
              </w:rPr>
              <w:t>Ongoing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client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communication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and project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management</w:t>
            </w:r>
          </w:p>
          <w:p w:rsidR="003F6033" w:rsidRPr="003F6033" w:rsidRDefault="003F6033" w:rsidP="00EA1395">
            <w:pPr>
              <w:pStyle w:val="TableParagraph"/>
              <w:ind w:right="438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Team members will attend internal weekly meetings organized jointly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with the delivery lead. They will also attend all client touch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points with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Pfizer,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F6033">
              <w:rPr>
                <w:rFonts w:ascii="Book Antiqua" w:hAnsi="Book Antiqua"/>
                <w:sz w:val="24"/>
                <w:szCs w:val="24"/>
              </w:rPr>
              <w:t>Merchantrade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and partners.</w:t>
            </w:r>
          </w:p>
        </w:tc>
        <w:tc>
          <w:tcPr>
            <w:tcW w:w="2276" w:type="dxa"/>
            <w:tcBorders>
              <w:left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67" w:lineRule="exact"/>
              <w:ind w:left="0" w:right="1062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  <w:tr w:rsidR="003F6033" w:rsidRPr="003F6033" w:rsidTr="00EA1395">
        <w:trPr>
          <w:trHeight w:val="2783"/>
        </w:trPr>
        <w:tc>
          <w:tcPr>
            <w:tcW w:w="6786" w:type="dxa"/>
            <w:tcBorders>
              <w:left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51" w:lineRule="exact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sz w:val="24"/>
                <w:szCs w:val="24"/>
              </w:rPr>
              <w:t>Technical expertise and guidance</w:t>
            </w:r>
          </w:p>
          <w:p w:rsidR="003F6033" w:rsidRPr="003F6033" w:rsidRDefault="003F6033" w:rsidP="00EA1395">
            <w:pPr>
              <w:pStyle w:val="TableParagraph"/>
              <w:spacing w:before="2"/>
              <w:ind w:right="199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Team members will provide guidance and technical expertise on health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financing topics, including universal health coverage, private health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insurance, and product innovation during internal and external meetings,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including assisting with the preparation of interview questions. They will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also advise on insights garnered from research and discussions with 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client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to prioritize product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options.</w:t>
            </w:r>
          </w:p>
          <w:p w:rsidR="003F6033" w:rsidRPr="003F6033" w:rsidRDefault="003F6033" w:rsidP="00EA1395">
            <w:pPr>
              <w:pStyle w:val="Table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3F6033" w:rsidRPr="003F6033" w:rsidRDefault="003F6033" w:rsidP="00EA1395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color w:val="6FAC46"/>
                <w:sz w:val="24"/>
                <w:szCs w:val="24"/>
              </w:rPr>
              <w:t>Deliverable</w:t>
            </w:r>
            <w:r w:rsidRPr="003F6033">
              <w:rPr>
                <w:rFonts w:ascii="Book Antiqua" w:hAnsi="Book Antiqua"/>
                <w:sz w:val="24"/>
                <w:szCs w:val="24"/>
              </w:rPr>
              <w:t>: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Co-develop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interview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guides</w:t>
            </w:r>
          </w:p>
        </w:tc>
        <w:tc>
          <w:tcPr>
            <w:tcW w:w="2276" w:type="dxa"/>
            <w:tcBorders>
              <w:left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67" w:lineRule="exact"/>
              <w:ind w:left="0" w:right="1062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  <w:tr w:rsidR="003F6033" w:rsidRPr="003F6033" w:rsidTr="00EA1395">
        <w:trPr>
          <w:trHeight w:val="2783"/>
        </w:trPr>
        <w:tc>
          <w:tcPr>
            <w:tcW w:w="6786" w:type="dxa"/>
            <w:tcBorders>
              <w:left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51" w:lineRule="exact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sz w:val="24"/>
                <w:szCs w:val="24"/>
              </w:rPr>
              <w:lastRenderedPageBreak/>
              <w:t>Plan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co-creation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workshop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and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prepare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materials</w:t>
            </w:r>
          </w:p>
          <w:p w:rsidR="003F6033" w:rsidRPr="003F6033" w:rsidRDefault="003F6033" w:rsidP="00EA1395">
            <w:pPr>
              <w:pStyle w:val="TableParagraph"/>
              <w:spacing w:before="1"/>
              <w:ind w:right="321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Co-lead in planning the co-creation workshop format, identifying of 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key stakeholders required in the workshop with the aim of discuss 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various insurance product options and alignment of partnership goals.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Team members will also assist in preparing material for the delivery of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workshop.</w:t>
            </w:r>
          </w:p>
          <w:p w:rsidR="003F6033" w:rsidRPr="003F6033" w:rsidRDefault="003F6033" w:rsidP="00EA1395">
            <w:pPr>
              <w:pStyle w:val="TableParagraph"/>
              <w:spacing w:before="11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3F6033" w:rsidRPr="003F6033" w:rsidRDefault="003F6033" w:rsidP="00EA1395">
            <w:pPr>
              <w:pStyle w:val="TableParagraph"/>
              <w:ind w:right="1292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color w:val="6FAC46"/>
                <w:sz w:val="24"/>
                <w:szCs w:val="24"/>
              </w:rPr>
              <w:t xml:space="preserve">Deliverable: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 xml:space="preserve">outline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of co-creation workshop format,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and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presentation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material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with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key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discussion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points(slides)</w:t>
            </w:r>
          </w:p>
        </w:tc>
        <w:tc>
          <w:tcPr>
            <w:tcW w:w="2276" w:type="dxa"/>
            <w:tcBorders>
              <w:left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67" w:lineRule="exact"/>
              <w:ind w:left="0" w:right="1062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6</w:t>
            </w:r>
          </w:p>
        </w:tc>
      </w:tr>
      <w:tr w:rsidR="003F6033" w:rsidRPr="003F6033" w:rsidTr="00EA1395">
        <w:trPr>
          <w:trHeight w:val="1011"/>
        </w:trPr>
        <w:tc>
          <w:tcPr>
            <w:tcW w:w="6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51" w:lineRule="exact"/>
              <w:rPr>
                <w:rFonts w:ascii="Book Antiqua" w:hAnsi="Book Antiqua"/>
                <w:b/>
                <w:sz w:val="24"/>
                <w:szCs w:val="24"/>
              </w:rPr>
            </w:pPr>
            <w:r w:rsidRPr="003F6033">
              <w:rPr>
                <w:rFonts w:ascii="Book Antiqua" w:hAnsi="Book Antiqua"/>
                <w:b/>
                <w:sz w:val="24"/>
                <w:szCs w:val="24"/>
              </w:rPr>
              <w:t>Facilitate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co-creation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b/>
                <w:sz w:val="24"/>
                <w:szCs w:val="24"/>
              </w:rPr>
              <w:t>workshop discussion</w:t>
            </w:r>
          </w:p>
          <w:p w:rsidR="003F6033" w:rsidRPr="003F6033" w:rsidRDefault="003F6033" w:rsidP="00EA1395">
            <w:pPr>
              <w:pStyle w:val="TableParagraph"/>
              <w:spacing w:before="1"/>
              <w:ind w:right="534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Team members will co-facilitate the discussions with Pfizer,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3F6033">
              <w:rPr>
                <w:rFonts w:ascii="Book Antiqua" w:hAnsi="Book Antiqua"/>
                <w:sz w:val="24"/>
                <w:szCs w:val="24"/>
              </w:rPr>
              <w:t>Merchantrade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and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key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partners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on designing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innovative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insurance</w:t>
            </w:r>
          </w:p>
          <w:p w:rsidR="003F6033" w:rsidRPr="003F6033" w:rsidRDefault="003F6033" w:rsidP="00EA1395">
            <w:pPr>
              <w:pStyle w:val="TableParagraph"/>
              <w:spacing w:line="233" w:lineRule="exact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3F6033">
              <w:rPr>
                <w:rFonts w:ascii="Book Antiqua" w:hAnsi="Book Antiqua"/>
                <w:sz w:val="24"/>
                <w:szCs w:val="24"/>
              </w:rPr>
              <w:t>product</w:t>
            </w:r>
            <w:proofErr w:type="gramEnd"/>
            <w:r w:rsidRPr="003F6033">
              <w:rPr>
                <w:rFonts w:ascii="Book Antiqua" w:hAnsi="Book Antiqua"/>
                <w:sz w:val="24"/>
                <w:szCs w:val="24"/>
              </w:rPr>
              <w:t>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workshop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will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finalize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key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aspects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of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3F6033">
              <w:rPr>
                <w:rFonts w:ascii="Book Antiqua" w:hAnsi="Book Antiqua"/>
                <w:sz w:val="24"/>
                <w:szCs w:val="24"/>
              </w:rPr>
              <w:t>product design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033" w:rsidRPr="003F6033" w:rsidRDefault="003F6033" w:rsidP="00EA1395">
            <w:pPr>
              <w:pStyle w:val="TableParagraph"/>
              <w:spacing w:line="267" w:lineRule="exact"/>
              <w:ind w:left="0" w:right="1062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3F6033"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</w:tbl>
    <w:p w:rsidR="003F6033" w:rsidRPr="003F6033" w:rsidRDefault="003F6033" w:rsidP="003F6033">
      <w:pPr>
        <w:tabs>
          <w:tab w:val="left" w:pos="861"/>
        </w:tabs>
        <w:spacing w:before="20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86"/>
        <w:gridCol w:w="2276"/>
      </w:tblGrid>
      <w:tr w:rsidR="005E6F96" w:rsidRPr="005E6F96" w:rsidTr="00EA1395">
        <w:trPr>
          <w:trHeight w:val="1518"/>
        </w:trPr>
        <w:tc>
          <w:tcPr>
            <w:tcW w:w="6786" w:type="dxa"/>
            <w:tcBorders>
              <w:left w:val="single" w:sz="4" w:space="0" w:color="000000"/>
              <w:right w:val="single" w:sz="4" w:space="0" w:color="000000"/>
            </w:tcBorders>
          </w:tcPr>
          <w:p w:rsidR="005E6F96" w:rsidRPr="005E6F96" w:rsidRDefault="005E6F96" w:rsidP="00EA1395">
            <w:pPr>
              <w:pStyle w:val="TableParagraph"/>
              <w:ind w:left="107"/>
              <w:rPr>
                <w:rFonts w:ascii="Book Antiqua" w:hAnsi="Book Antiqua"/>
                <w:sz w:val="24"/>
                <w:szCs w:val="24"/>
              </w:rPr>
            </w:pPr>
            <w:r w:rsidRPr="005E6F96">
              <w:rPr>
                <w:rFonts w:ascii="Book Antiqua" w:hAnsi="Book Antiqua"/>
                <w:sz w:val="24"/>
                <w:szCs w:val="24"/>
              </w:rPr>
              <w:t>S</w:t>
            </w:r>
            <w:r w:rsidRPr="005E6F96">
              <w:rPr>
                <w:rFonts w:ascii="Book Antiqua" w:hAnsi="Book Antiqua"/>
                <w:sz w:val="24"/>
                <w:szCs w:val="24"/>
              </w:rPr>
              <w:t>uch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as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core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business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model,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customer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profile,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value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proposition,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and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distribution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channels.</w:t>
            </w:r>
          </w:p>
          <w:p w:rsidR="005E6F96" w:rsidRPr="005E6F96" w:rsidRDefault="005E6F96" w:rsidP="00EA1395">
            <w:pPr>
              <w:pStyle w:val="TableParagraph"/>
              <w:spacing w:before="8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5E6F96" w:rsidRPr="005E6F96" w:rsidRDefault="005E6F96" w:rsidP="00EA1395">
            <w:pPr>
              <w:pStyle w:val="TableParagraph"/>
              <w:spacing w:before="1"/>
              <w:ind w:left="107" w:right="396"/>
              <w:rPr>
                <w:rFonts w:ascii="Book Antiqua" w:hAnsi="Book Antiqua"/>
                <w:b/>
                <w:sz w:val="24"/>
                <w:szCs w:val="24"/>
              </w:rPr>
            </w:pPr>
            <w:r w:rsidRPr="005E6F96">
              <w:rPr>
                <w:rFonts w:ascii="Book Antiqua" w:hAnsi="Book Antiqua"/>
                <w:b/>
                <w:color w:val="6FAC46"/>
                <w:sz w:val="24"/>
                <w:szCs w:val="24"/>
              </w:rPr>
              <w:t xml:space="preserve">Deliverable: </w:t>
            </w:r>
            <w:r w:rsidRPr="005E6F96">
              <w:rPr>
                <w:rFonts w:ascii="Book Antiqua" w:hAnsi="Book Antiqua"/>
                <w:b/>
                <w:sz w:val="24"/>
                <w:szCs w:val="24"/>
              </w:rPr>
              <w:t>Completion of 1 full-day workshop in Kuala Lumpur,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b/>
                <w:sz w:val="24"/>
                <w:szCs w:val="24"/>
              </w:rPr>
              <w:t>Malaysia</w:t>
            </w:r>
          </w:p>
        </w:tc>
        <w:tc>
          <w:tcPr>
            <w:tcW w:w="2276" w:type="dxa"/>
            <w:tcBorders>
              <w:left w:val="single" w:sz="4" w:space="0" w:color="000000"/>
              <w:right w:val="single" w:sz="4" w:space="0" w:color="000000"/>
            </w:tcBorders>
          </w:tcPr>
          <w:p w:rsidR="005E6F96" w:rsidRPr="005E6F96" w:rsidRDefault="005E6F96" w:rsidP="00EA1395">
            <w:pPr>
              <w:pStyle w:val="Table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E6F96" w:rsidRPr="005E6F96" w:rsidTr="00EA1395">
        <w:trPr>
          <w:trHeight w:val="2025"/>
        </w:trPr>
        <w:tc>
          <w:tcPr>
            <w:tcW w:w="6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96" w:rsidRPr="005E6F96" w:rsidRDefault="005E6F96" w:rsidP="00EA1395">
            <w:pPr>
              <w:pStyle w:val="TableParagraph"/>
              <w:ind w:left="107" w:right="447"/>
              <w:rPr>
                <w:rFonts w:ascii="Book Antiqua" w:hAnsi="Book Antiqua"/>
                <w:sz w:val="24"/>
                <w:szCs w:val="24"/>
              </w:rPr>
            </w:pPr>
            <w:r w:rsidRPr="005E6F96">
              <w:rPr>
                <w:rFonts w:ascii="Book Antiqua" w:hAnsi="Book Antiqua"/>
                <w:b/>
                <w:sz w:val="24"/>
                <w:szCs w:val="24"/>
              </w:rPr>
              <w:t xml:space="preserve">Review of workshop and development of partnership </w:t>
            </w:r>
            <w:proofErr w:type="spellStart"/>
            <w:r w:rsidRPr="005E6F96">
              <w:rPr>
                <w:rFonts w:ascii="Book Antiqua" w:hAnsi="Book Antiqua"/>
                <w:b/>
                <w:sz w:val="24"/>
                <w:szCs w:val="24"/>
              </w:rPr>
              <w:t>roadmap</w:t>
            </w:r>
            <w:r w:rsidRPr="005E6F96">
              <w:rPr>
                <w:rFonts w:ascii="Book Antiqua" w:hAnsi="Book Antiqua"/>
                <w:sz w:val="24"/>
                <w:szCs w:val="24"/>
              </w:rPr>
              <w:t>Team</w:t>
            </w:r>
            <w:proofErr w:type="spellEnd"/>
            <w:r w:rsidRPr="005E6F96">
              <w:rPr>
                <w:rFonts w:ascii="Book Antiqua" w:hAnsi="Book Antiqua"/>
                <w:sz w:val="24"/>
                <w:szCs w:val="24"/>
              </w:rPr>
              <w:t xml:space="preserve"> will provide inputs on the workshop summary and advise on the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development of a partnership roadmap to guide insurance product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development towards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E6F96">
              <w:rPr>
                <w:rFonts w:ascii="Book Antiqua" w:hAnsi="Book Antiqua"/>
                <w:sz w:val="24"/>
                <w:szCs w:val="24"/>
              </w:rPr>
              <w:t>its launch.</w:t>
            </w:r>
          </w:p>
          <w:p w:rsidR="005E6F96" w:rsidRPr="005E6F96" w:rsidRDefault="005E6F96" w:rsidP="00EA1395">
            <w:pPr>
              <w:pStyle w:val="TableParagraph"/>
              <w:spacing w:before="9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5E6F96" w:rsidRPr="005E6F96" w:rsidRDefault="005E6F96" w:rsidP="00EA1395">
            <w:pPr>
              <w:pStyle w:val="TableParagraph"/>
              <w:ind w:left="107" w:right="494"/>
              <w:rPr>
                <w:rFonts w:ascii="Book Antiqua" w:hAnsi="Book Antiqua"/>
                <w:b/>
                <w:sz w:val="24"/>
                <w:szCs w:val="24"/>
              </w:rPr>
            </w:pPr>
            <w:r w:rsidRPr="005E6F96">
              <w:rPr>
                <w:rFonts w:ascii="Book Antiqua" w:hAnsi="Book Antiqua"/>
                <w:b/>
                <w:color w:val="6FAC46"/>
                <w:sz w:val="24"/>
                <w:szCs w:val="24"/>
              </w:rPr>
              <w:t xml:space="preserve">Deliverable: </w:t>
            </w:r>
            <w:r w:rsidRPr="005E6F96">
              <w:rPr>
                <w:rFonts w:ascii="Book Antiqua" w:hAnsi="Book Antiqua"/>
                <w:b/>
                <w:sz w:val="24"/>
                <w:szCs w:val="24"/>
              </w:rPr>
              <w:t>Inputs on workshop takeaways (slides) and roadmap(slides)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96" w:rsidRPr="005E6F96" w:rsidRDefault="005E6F96" w:rsidP="00EA1395">
            <w:pPr>
              <w:pStyle w:val="TableParagraph"/>
              <w:spacing w:line="267" w:lineRule="exact"/>
              <w:ind w:left="6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5E6F96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</w:tbl>
    <w:p w:rsidR="00F50333" w:rsidRDefault="00F50333">
      <w:pPr>
        <w:rPr>
          <w:rFonts w:ascii="Book Antiqua" w:hAnsi="Book Antiqua" w:cs="Arial"/>
          <w:b/>
          <w:sz w:val="24"/>
          <w:szCs w:val="24"/>
        </w:rPr>
      </w:pP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b/>
          <w:bCs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b/>
          <w:bCs/>
          <w:color w:val="auto"/>
          <w:lang w:val="en-US"/>
        </w:rPr>
        <w:t xml:space="preserve">Compensation </w:t>
      </w: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>A fee of USD</w:t>
      </w:r>
      <w:r w:rsidRPr="00093A19">
        <w:rPr>
          <w:rFonts w:ascii="Book Antiqua" w:eastAsia="Times New Roman" w:hAnsi="Book Antiqua" w:cs="Times New Roman"/>
          <w:b/>
          <w:bCs/>
          <w:color w:val="auto"/>
          <w:lang w:val="en-US"/>
        </w:rPr>
        <w:t xml:space="preserve"> 3,600</w:t>
      </w:r>
      <w:r w:rsidRPr="00093A19">
        <w:rPr>
          <w:rFonts w:ascii="Book Antiqua" w:eastAsia="Times New Roman" w:hAnsi="Book Antiqua" w:cs="Times New Roman"/>
          <w:color w:val="auto"/>
          <w:lang w:val="en-US"/>
        </w:rPr>
        <w:t xml:space="preserve"> will be paid for the services.</w:t>
      </w: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 xml:space="preserve">Travel for </w:t>
      </w:r>
      <w:r w:rsidRPr="00093A19">
        <w:rPr>
          <w:rFonts w:ascii="Book Antiqua" w:eastAsia="Times New Roman" w:hAnsi="Book Antiqua" w:cs="Times New Roman"/>
          <w:b/>
          <w:bCs/>
          <w:color w:val="auto"/>
          <w:lang w:val="en-US"/>
        </w:rPr>
        <w:t>one person</w:t>
      </w:r>
      <w:r w:rsidRPr="00093A19">
        <w:rPr>
          <w:rFonts w:ascii="Book Antiqua" w:eastAsia="Times New Roman" w:hAnsi="Book Antiqua" w:cs="Times New Roman"/>
          <w:color w:val="auto"/>
          <w:lang w:val="en-US"/>
        </w:rPr>
        <w:t xml:space="preserve"> will be reimbursed upon submission of receipts as agreed by the client. </w:t>
      </w: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 xml:space="preserve">This includes: </w:t>
      </w:r>
    </w:p>
    <w:p w:rsidR="00093A19" w:rsidRPr="00093A19" w:rsidRDefault="00093A19" w:rsidP="00093A19">
      <w:pPr>
        <w:pStyle w:val="Default"/>
        <w:numPr>
          <w:ilvl w:val="0"/>
          <w:numId w:val="2"/>
        </w:numPr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>Flight (2 way)</w:t>
      </w:r>
    </w:p>
    <w:p w:rsidR="00093A19" w:rsidRPr="00093A19" w:rsidRDefault="00093A19" w:rsidP="00093A19">
      <w:pPr>
        <w:pStyle w:val="Default"/>
        <w:numPr>
          <w:ilvl w:val="0"/>
          <w:numId w:val="2"/>
        </w:numPr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>Accommodation</w:t>
      </w:r>
    </w:p>
    <w:p w:rsidR="00093A19" w:rsidRPr="00093A19" w:rsidRDefault="00093A19" w:rsidP="00093A19">
      <w:pPr>
        <w:pStyle w:val="Default"/>
        <w:numPr>
          <w:ilvl w:val="0"/>
          <w:numId w:val="2"/>
        </w:numPr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>Airports transfers</w:t>
      </w:r>
    </w:p>
    <w:p w:rsidR="00093A19" w:rsidRPr="00093A19" w:rsidRDefault="00093A19" w:rsidP="00093A19">
      <w:pPr>
        <w:pStyle w:val="Default"/>
        <w:numPr>
          <w:ilvl w:val="0"/>
          <w:numId w:val="2"/>
        </w:numPr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lastRenderedPageBreak/>
        <w:t>3 meals</w:t>
      </w: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  <w:r w:rsidRPr="00093A19">
        <w:rPr>
          <w:rFonts w:ascii="Book Antiqua" w:eastAsia="Times New Roman" w:hAnsi="Book Antiqua" w:cs="Times New Roman"/>
          <w:color w:val="auto"/>
          <w:lang w:val="en-US"/>
        </w:rPr>
        <w:t>The payment will be processed upon submission of an invoice to rajvi.mehta@accessh.org.</w:t>
      </w:r>
    </w:p>
    <w:p w:rsidR="00093A19" w:rsidRPr="00093A19" w:rsidRDefault="00093A19" w:rsidP="00093A19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</w:p>
    <w:p w:rsidR="00093A19" w:rsidRPr="00093A19" w:rsidRDefault="00093A19" w:rsidP="00093A19">
      <w:pPr>
        <w:adjustRightInd w:val="0"/>
        <w:rPr>
          <w:rFonts w:ascii="Book Antiqua" w:hAnsi="Book Antiqua"/>
          <w:sz w:val="24"/>
          <w:szCs w:val="24"/>
        </w:rPr>
      </w:pPr>
      <w:r w:rsidRPr="00093A19">
        <w:rPr>
          <w:rFonts w:ascii="Book Antiqua" w:hAnsi="Book Antiqua"/>
          <w:sz w:val="24"/>
          <w:szCs w:val="24"/>
        </w:rPr>
        <w:t>The payment shall be made from the parent Entity ACCESS Health International, INC from the dedicated account kept for ACCESS Health International Southeast Asia Ltd JP Morgan Bank USA.</w:t>
      </w:r>
    </w:p>
    <w:p w:rsidR="00093A19" w:rsidRDefault="00093A19">
      <w:pPr>
        <w:rPr>
          <w:rFonts w:ascii="Book Antiqua" w:hAnsi="Book Antiqua" w:cs="Arial"/>
          <w:b/>
          <w:sz w:val="24"/>
          <w:szCs w:val="24"/>
        </w:rPr>
      </w:pPr>
    </w:p>
    <w:p w:rsidR="00987069" w:rsidRPr="00987069" w:rsidRDefault="00987069" w:rsidP="00987069">
      <w:pPr>
        <w:rPr>
          <w:rFonts w:ascii="Book Antiqua" w:hAnsi="Book Antiqua" w:cs="Arial"/>
          <w:b/>
          <w:sz w:val="24"/>
          <w:szCs w:val="24"/>
        </w:rPr>
      </w:pPr>
      <w:r w:rsidRPr="00987069">
        <w:rPr>
          <w:rFonts w:ascii="Book Antiqua" w:hAnsi="Book Antiqua" w:cs="Arial"/>
          <w:b/>
          <w:sz w:val="24"/>
          <w:szCs w:val="24"/>
        </w:rPr>
        <w:t>Term</w:t>
      </w:r>
    </w:p>
    <w:p w:rsidR="00093A19" w:rsidRPr="00987069" w:rsidRDefault="00987069" w:rsidP="00987069">
      <w:pPr>
        <w:rPr>
          <w:rFonts w:ascii="Book Antiqua" w:hAnsi="Book Antiqua" w:cs="Arial"/>
          <w:sz w:val="24"/>
          <w:szCs w:val="24"/>
        </w:rPr>
      </w:pPr>
      <w:r w:rsidRPr="00987069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DA4068">
        <w:rPr>
          <w:rFonts w:ascii="Book Antiqua" w:hAnsi="Book Antiqua" w:cs="Arial"/>
          <w:b/>
          <w:sz w:val="24"/>
          <w:szCs w:val="24"/>
        </w:rPr>
        <w:t>April 2</w:t>
      </w:r>
      <w:r w:rsidR="00DA4068" w:rsidRPr="00DA4068">
        <w:rPr>
          <w:rFonts w:ascii="Book Antiqua" w:hAnsi="Book Antiqua" w:cs="Arial"/>
          <w:b/>
          <w:sz w:val="24"/>
          <w:szCs w:val="24"/>
        </w:rPr>
        <w:t>0</w:t>
      </w:r>
      <w:r w:rsidRPr="00DA4068">
        <w:rPr>
          <w:rFonts w:ascii="Book Antiqua" w:hAnsi="Book Antiqua" w:cs="Arial"/>
          <w:b/>
          <w:sz w:val="24"/>
          <w:szCs w:val="24"/>
        </w:rPr>
        <w:t>, 2023</w:t>
      </w:r>
      <w:r w:rsidRPr="00987069">
        <w:rPr>
          <w:rFonts w:ascii="Book Antiqua" w:hAnsi="Book Antiqua" w:cs="Arial"/>
          <w:sz w:val="24"/>
          <w:szCs w:val="24"/>
        </w:rPr>
        <w:t xml:space="preserve"> to </w:t>
      </w:r>
      <w:r w:rsidR="00DA4068" w:rsidRPr="00DA4068">
        <w:rPr>
          <w:rFonts w:ascii="Book Antiqua" w:hAnsi="Book Antiqua" w:cs="Arial"/>
          <w:b/>
          <w:sz w:val="24"/>
          <w:szCs w:val="24"/>
        </w:rPr>
        <w:t>June 9</w:t>
      </w:r>
      <w:r w:rsidRPr="00DA4068">
        <w:rPr>
          <w:rFonts w:ascii="Book Antiqua" w:hAnsi="Book Antiqua" w:cs="Arial"/>
          <w:b/>
          <w:sz w:val="24"/>
          <w:szCs w:val="24"/>
        </w:rPr>
        <w:t>, 2023</w:t>
      </w:r>
      <w:r w:rsidRPr="00987069">
        <w:rPr>
          <w:rFonts w:ascii="Book Antiqua" w:hAnsi="Book Antiqua" w:cs="Arial"/>
          <w:sz w:val="24"/>
          <w:szCs w:val="24"/>
        </w:rPr>
        <w:t>.</w:t>
      </w:r>
    </w:p>
    <w:sectPr w:rsidR="00093A19" w:rsidRPr="0098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3FC8"/>
    <w:multiLevelType w:val="hybridMultilevel"/>
    <w:tmpl w:val="31A03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D418E"/>
    <w:multiLevelType w:val="hybridMultilevel"/>
    <w:tmpl w:val="46686C76"/>
    <w:lvl w:ilvl="0" w:tplc="5D645E00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4A403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4D5647E0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C5FCEF14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7132F7B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28801E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BBC070E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F65E371A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358EF41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706B"/>
    <w:rsid w:val="00093A19"/>
    <w:rsid w:val="0028706B"/>
    <w:rsid w:val="003F6033"/>
    <w:rsid w:val="00552924"/>
    <w:rsid w:val="005E6F96"/>
    <w:rsid w:val="00987069"/>
    <w:rsid w:val="00DA4068"/>
    <w:rsid w:val="00DB3782"/>
    <w:rsid w:val="00F5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03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5033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50333"/>
    <w:pPr>
      <w:widowControl w:val="0"/>
      <w:autoSpaceDE w:val="0"/>
      <w:autoSpaceDN w:val="0"/>
      <w:spacing w:before="2"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F6033"/>
    <w:pPr>
      <w:widowControl w:val="0"/>
      <w:autoSpaceDE w:val="0"/>
      <w:autoSpaceDN w:val="0"/>
      <w:spacing w:after="0" w:line="240" w:lineRule="auto"/>
      <w:ind w:left="11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93A1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518</Words>
  <Characters>2953</Characters>
  <Application>Microsoft Office Word</Application>
  <DocSecurity>0</DocSecurity>
  <Lines>24</Lines>
  <Paragraphs>6</Paragraphs>
  <ScaleCrop>false</ScaleCrop>
  <Company>Grizli777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2023-06-08T07:05:00Z</dcterms:created>
  <dcterms:modified xsi:type="dcterms:W3CDTF">2023-06-08T07:19:00Z</dcterms:modified>
</cp:coreProperties>
</file>