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E9" w:rsidRDefault="002835E9">
      <w:pPr>
        <w:pStyle w:val="BodyText"/>
        <w:rPr>
          <w:sz w:val="20"/>
        </w:rPr>
      </w:pPr>
    </w:p>
    <w:p w:rsidR="002835E9" w:rsidRDefault="002835E9">
      <w:pPr>
        <w:pStyle w:val="BodyText"/>
        <w:rPr>
          <w:sz w:val="20"/>
        </w:rPr>
      </w:pPr>
    </w:p>
    <w:p w:rsidR="002835E9" w:rsidRPr="003C1877" w:rsidRDefault="00E97C1F">
      <w:pPr>
        <w:pStyle w:val="BodyText"/>
        <w:rPr>
          <w:rFonts w:ascii="Book Antiqua" w:hAnsi="Book Antiqua"/>
          <w:b/>
          <w:sz w:val="24"/>
          <w:szCs w:val="24"/>
        </w:rPr>
      </w:pPr>
      <w:r w:rsidRPr="003C1877">
        <w:rPr>
          <w:rFonts w:ascii="Book Antiqua" w:hAnsi="Book Antiqua"/>
          <w:b/>
          <w:sz w:val="24"/>
          <w:szCs w:val="24"/>
        </w:rPr>
        <w:t>Scope of Work for APAC CVD Alliance White Paper</w:t>
      </w:r>
    </w:p>
    <w:p w:rsidR="002835E9" w:rsidRDefault="002835E9">
      <w:pPr>
        <w:pStyle w:val="BodyText"/>
        <w:rPr>
          <w:sz w:val="20"/>
        </w:rPr>
      </w:pPr>
    </w:p>
    <w:p w:rsidR="002835E9" w:rsidRPr="003C1877" w:rsidRDefault="00D76614" w:rsidP="003C1877">
      <w:pPr>
        <w:pStyle w:val="BodyText"/>
        <w:spacing w:before="133" w:line="259" w:lineRule="auto"/>
        <w:ind w:right="131"/>
        <w:jc w:val="both"/>
        <w:rPr>
          <w:rFonts w:ascii="Book Antiqua" w:hAnsi="Book Antiqua"/>
          <w:sz w:val="24"/>
          <w:szCs w:val="24"/>
        </w:rPr>
      </w:pPr>
      <w:r w:rsidRPr="003C1877">
        <w:rPr>
          <w:rFonts w:ascii="Book Antiqua" w:hAnsi="Book Antiqua"/>
          <w:b/>
          <w:sz w:val="24"/>
          <w:szCs w:val="24"/>
        </w:rPr>
        <w:t>Project</w:t>
      </w:r>
      <w:r w:rsidR="003C1877">
        <w:rPr>
          <w:rFonts w:ascii="Book Antiqua" w:hAnsi="Book Antiqua"/>
          <w:b/>
          <w:sz w:val="24"/>
          <w:szCs w:val="24"/>
        </w:rPr>
        <w:t xml:space="preserve"> </w:t>
      </w:r>
      <w:r w:rsidRPr="003C1877">
        <w:rPr>
          <w:rFonts w:ascii="Book Antiqua" w:hAnsi="Book Antiqua"/>
          <w:b/>
          <w:sz w:val="24"/>
          <w:szCs w:val="24"/>
        </w:rPr>
        <w:t>objective:</w:t>
      </w:r>
      <w:r w:rsidR="003C1877">
        <w:rPr>
          <w:rFonts w:ascii="Book Antiqua" w:hAnsi="Book Antiqua"/>
          <w:b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To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develop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a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detailed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understanding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on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the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overall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policy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landscape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for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cardiovascular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diseases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(CVDs)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care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and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prevention,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identifying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gaps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in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policy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and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program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implementation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in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Japan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and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other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Asia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Pacific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countries.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Understanding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these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policy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and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implementation gaps will serve to elevate public awareness of the growing CVD burden, support</w:t>
      </w:r>
      <w:r w:rsidR="003C1877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evidence-based policymaking, and encourage unified, multi-sectoral action for heart health in the Asia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Pacific.</w:t>
      </w:r>
    </w:p>
    <w:p w:rsidR="002835E9" w:rsidRPr="003C1877" w:rsidRDefault="00D76614" w:rsidP="003C1877">
      <w:pPr>
        <w:spacing w:before="158" w:line="410" w:lineRule="auto"/>
        <w:ind w:right="7534"/>
        <w:jc w:val="both"/>
        <w:rPr>
          <w:rFonts w:ascii="Book Antiqua" w:hAnsi="Book Antiqua"/>
          <w:b/>
          <w:sz w:val="24"/>
          <w:szCs w:val="24"/>
        </w:rPr>
      </w:pPr>
      <w:r w:rsidRPr="003C1877">
        <w:rPr>
          <w:rFonts w:ascii="Book Antiqua" w:hAnsi="Book Antiqua"/>
          <w:b/>
          <w:sz w:val="24"/>
          <w:szCs w:val="24"/>
        </w:rPr>
        <w:t>Timelines:</w:t>
      </w:r>
    </w:p>
    <w:p w:rsidR="002835E9" w:rsidRPr="003C1877" w:rsidRDefault="00D76614" w:rsidP="00203793">
      <w:pPr>
        <w:pStyle w:val="BodyText"/>
        <w:spacing w:before="1" w:after="20"/>
        <w:jc w:val="both"/>
        <w:rPr>
          <w:rFonts w:ascii="Book Antiqua" w:hAnsi="Book Antiqua"/>
          <w:sz w:val="24"/>
          <w:szCs w:val="24"/>
        </w:rPr>
      </w:pPr>
      <w:r w:rsidRPr="003C1877">
        <w:rPr>
          <w:rFonts w:ascii="Book Antiqua" w:hAnsi="Book Antiqua"/>
          <w:sz w:val="24"/>
          <w:szCs w:val="24"/>
        </w:rPr>
        <w:t>In</w:t>
      </w:r>
      <w:r w:rsidRPr="003C1877">
        <w:rPr>
          <w:rFonts w:ascii="Book Antiqua" w:hAnsi="Book Antiqua"/>
          <w:sz w:val="24"/>
          <w:szCs w:val="24"/>
        </w:rPr>
        <w:t>terviews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on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country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CVD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program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&amp;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policy gaps: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June</w:t>
      </w:r>
      <w:r w:rsidR="00203793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2</w:t>
      </w:r>
      <w:r w:rsidR="00127C7B" w:rsidRPr="003C1877">
        <w:rPr>
          <w:rFonts w:ascii="Book Antiqua" w:hAnsi="Book Antiqua"/>
          <w:sz w:val="24"/>
          <w:szCs w:val="24"/>
        </w:rPr>
        <w:t>9</w:t>
      </w:r>
      <w:r w:rsidRPr="003C1877">
        <w:rPr>
          <w:rFonts w:ascii="Book Antiqua" w:hAnsi="Book Antiqua"/>
          <w:sz w:val="24"/>
          <w:szCs w:val="24"/>
        </w:rPr>
        <w:t>, 2023– July 20,</w:t>
      </w:r>
      <w:r w:rsidR="00273912">
        <w:rPr>
          <w:rFonts w:ascii="Book Antiqua" w:hAnsi="Book Antiqua"/>
          <w:sz w:val="24"/>
          <w:szCs w:val="24"/>
        </w:rPr>
        <w:t xml:space="preserve"> </w:t>
      </w:r>
      <w:r w:rsidRPr="003C1877">
        <w:rPr>
          <w:rFonts w:ascii="Book Antiqua" w:hAnsi="Book Antiqua"/>
          <w:sz w:val="24"/>
          <w:szCs w:val="24"/>
        </w:rPr>
        <w:t>2023</w:t>
      </w:r>
    </w:p>
    <w:p w:rsidR="003C1877" w:rsidRDefault="003C1877" w:rsidP="003C1877">
      <w:pPr>
        <w:pStyle w:val="BodyText"/>
        <w:spacing w:before="1" w:after="20"/>
        <w:jc w:val="both"/>
      </w:pPr>
    </w:p>
    <w:tbl>
      <w:tblPr>
        <w:tblW w:w="0" w:type="auto"/>
        <w:tblInd w:w="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786"/>
        <w:gridCol w:w="2276"/>
      </w:tblGrid>
      <w:tr w:rsidR="002835E9" w:rsidRPr="00203793">
        <w:trPr>
          <w:trHeight w:val="310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2835E9" w:rsidRPr="00203793" w:rsidRDefault="00D76614" w:rsidP="00053AAE">
            <w:pPr>
              <w:pStyle w:val="TableParagraph"/>
              <w:spacing w:before="28"/>
              <w:rPr>
                <w:rFonts w:ascii="Book Antiqua" w:hAnsi="Book Antiqua"/>
                <w:b/>
                <w:sz w:val="24"/>
                <w:szCs w:val="24"/>
              </w:rPr>
            </w:pP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Scope: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Interview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on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CVD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policy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landscape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in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Japan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for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APAC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CVD</w:t>
            </w:r>
            <w:r w:rsidR="00203793"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color w:val="F1F1F1"/>
                <w:sz w:val="24"/>
                <w:szCs w:val="24"/>
              </w:rPr>
              <w:t>Alliance</w:t>
            </w:r>
          </w:p>
        </w:tc>
      </w:tr>
      <w:tr w:rsidR="002835E9" w:rsidRPr="00203793">
        <w:trPr>
          <w:trHeight w:val="253"/>
        </w:trPr>
        <w:tc>
          <w:tcPr>
            <w:tcW w:w="6786" w:type="dxa"/>
            <w:tcBorders>
              <w:top w:val="nil"/>
            </w:tcBorders>
            <w:shd w:val="clear" w:color="auto" w:fill="D9D9D9"/>
          </w:tcPr>
          <w:p w:rsidR="002835E9" w:rsidRPr="00203793" w:rsidRDefault="00D76614" w:rsidP="00053AAE">
            <w:pPr>
              <w:pStyle w:val="TableParagraph"/>
              <w:spacing w:before="1" w:line="233" w:lineRule="exact"/>
              <w:ind w:right="3070"/>
              <w:rPr>
                <w:rFonts w:ascii="Book Antiqua" w:hAnsi="Book Antiqua"/>
                <w:b/>
                <w:sz w:val="24"/>
                <w:szCs w:val="24"/>
              </w:rPr>
            </w:pPr>
            <w:r w:rsidRPr="00203793">
              <w:rPr>
                <w:rFonts w:ascii="Book Antiqua" w:hAnsi="Book Antiqua"/>
                <w:b/>
                <w:sz w:val="24"/>
                <w:szCs w:val="24"/>
              </w:rPr>
              <w:t>Tasks</w:t>
            </w:r>
          </w:p>
        </w:tc>
        <w:tc>
          <w:tcPr>
            <w:tcW w:w="2276" w:type="dxa"/>
            <w:tcBorders>
              <w:top w:val="nil"/>
            </w:tcBorders>
            <w:shd w:val="clear" w:color="auto" w:fill="D9D9D9"/>
          </w:tcPr>
          <w:p w:rsidR="002835E9" w:rsidRPr="00203793" w:rsidRDefault="00D76614" w:rsidP="00053AAE">
            <w:pPr>
              <w:pStyle w:val="TableParagraph"/>
              <w:spacing w:before="1" w:line="233" w:lineRule="exact"/>
              <w:ind w:right="318"/>
              <w:rPr>
                <w:rFonts w:ascii="Book Antiqua" w:hAnsi="Book Antiqua"/>
                <w:b/>
                <w:sz w:val="24"/>
                <w:szCs w:val="24"/>
              </w:rPr>
            </w:pPr>
            <w:r w:rsidRPr="00203793">
              <w:rPr>
                <w:rFonts w:ascii="Book Antiqua" w:hAnsi="Book Antiqua"/>
                <w:b/>
                <w:sz w:val="24"/>
                <w:szCs w:val="24"/>
              </w:rPr>
              <w:t>Estimated</w:t>
            </w:r>
            <w:r w:rsidR="00203793" w:rsidRPr="0020379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sz w:val="24"/>
                <w:szCs w:val="24"/>
              </w:rPr>
              <w:t>hours</w:t>
            </w:r>
          </w:p>
        </w:tc>
      </w:tr>
      <w:tr w:rsidR="002835E9" w:rsidRPr="00203793">
        <w:trPr>
          <w:trHeight w:val="6121"/>
        </w:trPr>
        <w:tc>
          <w:tcPr>
            <w:tcW w:w="67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5E9" w:rsidRPr="00203793" w:rsidRDefault="00D76614">
            <w:pPr>
              <w:pStyle w:val="TableParagraph"/>
              <w:spacing w:line="252" w:lineRule="exact"/>
              <w:rPr>
                <w:rFonts w:ascii="Book Antiqua" w:hAnsi="Book Antiqua"/>
                <w:b/>
                <w:sz w:val="24"/>
                <w:szCs w:val="24"/>
              </w:rPr>
            </w:pPr>
            <w:r w:rsidRPr="00203793">
              <w:rPr>
                <w:rFonts w:ascii="Book Antiqua" w:hAnsi="Book Antiqua"/>
                <w:b/>
                <w:sz w:val="24"/>
                <w:szCs w:val="24"/>
              </w:rPr>
              <w:t>Analysis</w:t>
            </w:r>
            <w:r w:rsidR="0020379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sz w:val="24"/>
                <w:szCs w:val="24"/>
              </w:rPr>
              <w:t>on</w:t>
            </w:r>
            <w:r w:rsidR="0020379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sz w:val="24"/>
                <w:szCs w:val="24"/>
              </w:rPr>
              <w:t>policy</w:t>
            </w:r>
            <w:r w:rsidR="0020379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sz w:val="24"/>
                <w:szCs w:val="24"/>
              </w:rPr>
              <w:t>gaps</w:t>
            </w:r>
          </w:p>
          <w:p w:rsidR="002835E9" w:rsidRPr="00203793" w:rsidRDefault="00D76614">
            <w:pPr>
              <w:pStyle w:val="TableParagraph"/>
              <w:ind w:right="223"/>
              <w:rPr>
                <w:rFonts w:ascii="Book Antiqua" w:hAnsi="Book Antiqua"/>
                <w:sz w:val="24"/>
                <w:szCs w:val="24"/>
              </w:rPr>
            </w:pPr>
            <w:r w:rsidRPr="00203793">
              <w:rPr>
                <w:rFonts w:ascii="Book Antiqua" w:hAnsi="Book Antiqua"/>
                <w:b/>
                <w:sz w:val="24"/>
                <w:szCs w:val="24"/>
              </w:rPr>
              <w:t xml:space="preserve">Total of two interviews: </w:t>
            </w:r>
            <w:r w:rsidRPr="00203793">
              <w:rPr>
                <w:rFonts w:ascii="Book Antiqua" w:hAnsi="Book Antiqua"/>
                <w:sz w:val="24"/>
                <w:szCs w:val="24"/>
              </w:rPr>
              <w:t>Conduct interviews with one patient group and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one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cardiologist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to understand gaps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in</w:t>
            </w:r>
          </w:p>
          <w:p w:rsidR="002835E9" w:rsidRPr="00203793" w:rsidRDefault="00D76614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before="2" w:line="259" w:lineRule="auto"/>
              <w:ind w:right="269"/>
              <w:rPr>
                <w:rFonts w:ascii="Book Antiqua" w:hAnsi="Book Antiqua"/>
                <w:sz w:val="24"/>
                <w:szCs w:val="24"/>
              </w:rPr>
            </w:pPr>
            <w:r w:rsidRPr="00203793">
              <w:rPr>
                <w:rFonts w:ascii="Book Antiqua" w:hAnsi="Book Antiqua"/>
                <w:sz w:val="24"/>
                <w:szCs w:val="24"/>
              </w:rPr>
              <w:t>Health promotion and prevention strategies targeting prevailing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risk factors (i.e., physical activity, diet, smoking) and promoting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CVD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awareness</w:t>
            </w:r>
          </w:p>
          <w:p w:rsidR="002835E9" w:rsidRPr="00203793" w:rsidRDefault="00D76614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line="259" w:lineRule="auto"/>
              <w:ind w:right="659"/>
              <w:rPr>
                <w:rFonts w:ascii="Book Antiqua" w:hAnsi="Book Antiqua"/>
                <w:sz w:val="24"/>
                <w:szCs w:val="24"/>
              </w:rPr>
            </w:pPr>
            <w:r w:rsidRPr="00203793">
              <w:rPr>
                <w:rFonts w:ascii="Book Antiqua" w:hAnsi="Book Antiqua"/>
                <w:sz w:val="24"/>
                <w:szCs w:val="24"/>
              </w:rPr>
              <w:t>Screening and diagnostic capacity, which encompasses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population-screening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programs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and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types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of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diagnostic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tests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available</w:t>
            </w:r>
          </w:p>
          <w:p w:rsidR="002835E9" w:rsidRPr="00203793" w:rsidRDefault="00D76614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line="259" w:lineRule="auto"/>
              <w:ind w:right="189"/>
              <w:rPr>
                <w:rFonts w:ascii="Book Antiqua" w:hAnsi="Book Antiqua"/>
                <w:sz w:val="24"/>
                <w:szCs w:val="24"/>
              </w:rPr>
            </w:pPr>
            <w:r w:rsidRPr="00203793">
              <w:rPr>
                <w:rFonts w:ascii="Book Antiqua" w:hAnsi="Book Antiqua"/>
                <w:sz w:val="24"/>
                <w:szCs w:val="24"/>
              </w:rPr>
              <w:t>Management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and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treatment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of current CVD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patients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in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acute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care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facilities, rehabilitation programs, and availability of essential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medicines</w:t>
            </w:r>
          </w:p>
          <w:p w:rsidR="002835E9" w:rsidRPr="00203793" w:rsidRDefault="00D76614">
            <w:pPr>
              <w:pStyle w:val="TableParagraph"/>
              <w:numPr>
                <w:ilvl w:val="0"/>
                <w:numId w:val="1"/>
              </w:numPr>
              <w:tabs>
                <w:tab w:val="left" w:pos="837"/>
                <w:tab w:val="left" w:pos="838"/>
              </w:tabs>
              <w:spacing w:line="259" w:lineRule="auto"/>
              <w:ind w:right="176"/>
              <w:rPr>
                <w:rFonts w:ascii="Book Antiqua" w:hAnsi="Book Antiqua"/>
                <w:sz w:val="24"/>
                <w:szCs w:val="24"/>
              </w:rPr>
            </w:pPr>
            <w:r w:rsidRPr="00203793">
              <w:rPr>
                <w:rFonts w:ascii="Book Antiqua" w:hAnsi="Book Antiqua"/>
                <w:sz w:val="24"/>
                <w:szCs w:val="24"/>
              </w:rPr>
              <w:t>System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readiness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for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CVDs,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including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national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registries,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clinical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guidelines across healthcare se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tting, integrated care </w:t>
            </w:r>
            <w:r w:rsidRPr="00203793">
              <w:rPr>
                <w:rFonts w:ascii="Book Antiqua" w:hAnsi="Book Antiqua"/>
                <w:sz w:val="24"/>
                <w:szCs w:val="24"/>
              </w:rPr>
              <w:t>delivery,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work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force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planning,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health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financing,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and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supply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chain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resilience</w:t>
            </w:r>
          </w:p>
          <w:p w:rsidR="002835E9" w:rsidRPr="00203793" w:rsidRDefault="002835E9">
            <w:pPr>
              <w:pStyle w:val="TableParagraph"/>
              <w:spacing w:before="7"/>
              <w:ind w:left="0"/>
              <w:rPr>
                <w:rFonts w:ascii="Book Antiqua" w:hAnsi="Book Antiqua"/>
                <w:sz w:val="24"/>
                <w:szCs w:val="24"/>
              </w:rPr>
            </w:pPr>
          </w:p>
          <w:p w:rsidR="002835E9" w:rsidRPr="00203793" w:rsidRDefault="00D76614">
            <w:pPr>
              <w:pStyle w:val="TableParagraph"/>
              <w:spacing w:line="259" w:lineRule="auto"/>
              <w:ind w:right="211"/>
              <w:rPr>
                <w:rFonts w:ascii="Book Antiqua" w:hAnsi="Book Antiqua"/>
                <w:sz w:val="24"/>
                <w:szCs w:val="24"/>
              </w:rPr>
            </w:pPr>
            <w:r w:rsidRPr="00203793">
              <w:rPr>
                <w:rFonts w:ascii="Book Antiqua" w:hAnsi="Book Antiqua"/>
                <w:sz w:val="24"/>
                <w:szCs w:val="24"/>
              </w:rPr>
              <w:t>Note: Guiding questions will be provided, for interviewer to use to probe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into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the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above areas</w:t>
            </w:r>
            <w:r w:rsidR="00203793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sz w:val="24"/>
                <w:szCs w:val="24"/>
              </w:rPr>
              <w:t>further.</w:t>
            </w:r>
          </w:p>
          <w:p w:rsidR="002835E9" w:rsidRPr="00203793" w:rsidRDefault="002835E9">
            <w:pPr>
              <w:pStyle w:val="TableParagraph"/>
              <w:spacing w:before="9"/>
              <w:ind w:left="0"/>
              <w:rPr>
                <w:rFonts w:ascii="Book Antiqua" w:hAnsi="Book Antiqua"/>
                <w:sz w:val="24"/>
                <w:szCs w:val="24"/>
              </w:rPr>
            </w:pPr>
          </w:p>
          <w:p w:rsidR="002835E9" w:rsidRPr="00203793" w:rsidRDefault="00D76614" w:rsidP="00127C7B">
            <w:pPr>
              <w:pStyle w:val="TableParagraph"/>
              <w:ind w:right="411"/>
              <w:rPr>
                <w:rFonts w:ascii="Book Antiqua" w:hAnsi="Book Antiqua"/>
                <w:b/>
                <w:sz w:val="24"/>
                <w:szCs w:val="24"/>
              </w:rPr>
            </w:pPr>
            <w:r w:rsidRPr="00203793">
              <w:rPr>
                <w:rFonts w:ascii="Book Antiqua" w:hAnsi="Book Antiqua"/>
                <w:b/>
                <w:color w:val="6FAC46"/>
                <w:sz w:val="24"/>
                <w:szCs w:val="24"/>
              </w:rPr>
              <w:t xml:space="preserve">Deliverable: </w:t>
            </w:r>
            <w:r w:rsidRPr="00203793">
              <w:rPr>
                <w:rFonts w:ascii="Book Antiqua" w:hAnsi="Book Antiqua"/>
                <w:b/>
                <w:sz w:val="24"/>
                <w:szCs w:val="24"/>
              </w:rPr>
              <w:t>Interview transcript in English and interview insi</w:t>
            </w:r>
            <w:r w:rsidRPr="00203793">
              <w:rPr>
                <w:rFonts w:ascii="Book Antiqua" w:hAnsi="Book Antiqua"/>
                <w:b/>
                <w:sz w:val="24"/>
                <w:szCs w:val="24"/>
              </w:rPr>
              <w:t>ghts</w:t>
            </w:r>
            <w:r w:rsidR="00203793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Pr="00203793">
              <w:rPr>
                <w:rFonts w:ascii="Book Antiqua" w:hAnsi="Book Antiqua"/>
                <w:b/>
                <w:sz w:val="24"/>
                <w:szCs w:val="24"/>
              </w:rPr>
              <w:t>summary.</w:t>
            </w:r>
          </w:p>
        </w:tc>
        <w:tc>
          <w:tcPr>
            <w:tcW w:w="2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5E9" w:rsidRPr="00203793" w:rsidRDefault="00D76614">
            <w:pPr>
              <w:pStyle w:val="TableParagraph"/>
              <w:spacing w:before="1"/>
              <w:ind w:left="25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203793">
              <w:rPr>
                <w:rFonts w:ascii="Book Antiqua" w:hAnsi="Book Antiqua"/>
                <w:sz w:val="24"/>
                <w:szCs w:val="24"/>
              </w:rPr>
              <w:t>8</w:t>
            </w:r>
          </w:p>
        </w:tc>
      </w:tr>
    </w:tbl>
    <w:p w:rsidR="00127C7B" w:rsidRDefault="00127C7B" w:rsidP="00127C7B">
      <w:pPr>
        <w:pStyle w:val="Default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</w:p>
    <w:p w:rsidR="00127C7B" w:rsidRPr="00455A29" w:rsidRDefault="00127C7B" w:rsidP="00127C7B">
      <w:pPr>
        <w:pStyle w:val="Default"/>
        <w:rPr>
          <w:rFonts w:ascii="Book Antiqua" w:eastAsia="Times New Roman" w:hAnsi="Book Antiqua" w:cs="Times New Roman"/>
          <w:b/>
          <w:bCs/>
          <w:color w:val="auto"/>
          <w:lang w:val="en-US"/>
        </w:rPr>
      </w:pPr>
      <w:r w:rsidRPr="00455A29">
        <w:rPr>
          <w:rFonts w:ascii="Book Antiqua" w:eastAsia="Times New Roman" w:hAnsi="Book Antiqua" w:cs="Times New Roman"/>
          <w:b/>
          <w:bCs/>
          <w:color w:val="auto"/>
          <w:lang w:val="en-US"/>
        </w:rPr>
        <w:t>Compensation and payment milestones</w:t>
      </w:r>
    </w:p>
    <w:p w:rsidR="00127C7B" w:rsidRPr="00455A29" w:rsidRDefault="00127C7B" w:rsidP="00127C7B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</w:p>
    <w:p w:rsidR="00127C7B" w:rsidRPr="00455A29" w:rsidRDefault="00127C7B" w:rsidP="00127C7B">
      <w:pPr>
        <w:pStyle w:val="Default"/>
        <w:rPr>
          <w:rFonts w:ascii="Book Antiqua" w:eastAsia="Times New Roman" w:hAnsi="Book Antiqua" w:cs="Times New Roman"/>
          <w:color w:val="auto"/>
          <w:lang w:val="en-US"/>
        </w:rPr>
      </w:pPr>
      <w:r w:rsidRPr="00455A29">
        <w:rPr>
          <w:rFonts w:ascii="Book Antiqua" w:eastAsia="Times New Roman" w:hAnsi="Book Antiqua" w:cs="Times New Roman"/>
          <w:color w:val="auto"/>
          <w:lang w:val="en-US"/>
        </w:rPr>
        <w:t xml:space="preserve">The total fee of USD 1,500 will be paid to the service provider upon completion of the deliverables and by providing an invoice to </w:t>
      </w:r>
      <w:hyperlink r:id="rId7" w:history="1">
        <w:r w:rsidRPr="00455A29">
          <w:rPr>
            <w:rFonts w:ascii="Book Antiqua" w:eastAsia="Times New Roman" w:hAnsi="Book Antiqua" w:cs="Times New Roman"/>
            <w:color w:val="auto"/>
            <w:lang w:val="en-US"/>
          </w:rPr>
          <w:t>rajvi.mehta@accessh.org</w:t>
        </w:r>
      </w:hyperlink>
      <w:r w:rsidRPr="00455A29">
        <w:rPr>
          <w:rFonts w:ascii="Book Antiqua" w:eastAsia="Times New Roman" w:hAnsi="Book Antiqua" w:cs="Times New Roman"/>
          <w:color w:val="auto"/>
          <w:lang w:val="en-US"/>
        </w:rPr>
        <w:t>.</w:t>
      </w:r>
    </w:p>
    <w:p w:rsidR="00127C7B" w:rsidRPr="00455A29" w:rsidRDefault="00127C7B" w:rsidP="00127C7B">
      <w:pPr>
        <w:rPr>
          <w:rFonts w:ascii="Book Antiqua" w:hAnsi="Book Antiqua"/>
          <w:sz w:val="24"/>
          <w:szCs w:val="24"/>
        </w:rPr>
      </w:pPr>
    </w:p>
    <w:p w:rsidR="00127C7B" w:rsidRPr="00455A29" w:rsidRDefault="00127C7B" w:rsidP="00127C7B">
      <w:pPr>
        <w:rPr>
          <w:rFonts w:ascii="Book Antiqua" w:hAnsi="Book Antiqua"/>
          <w:sz w:val="24"/>
          <w:szCs w:val="24"/>
        </w:rPr>
      </w:pPr>
      <w:r w:rsidRPr="00455A29">
        <w:rPr>
          <w:rFonts w:ascii="Book Antiqua" w:hAnsi="Book Antiqua"/>
          <w:sz w:val="24"/>
          <w:szCs w:val="24"/>
        </w:rPr>
        <w:t>The payment shall be made from the parent Entity ACCESS Health International, INC from the dedicated account kept for ACCESS Health International Southeast Asia Ltd JP Morgan Bank USA</w:t>
      </w:r>
    </w:p>
    <w:p w:rsidR="002835E9" w:rsidRPr="00455A29" w:rsidRDefault="002835E9">
      <w:pPr>
        <w:pStyle w:val="BodyText"/>
        <w:rPr>
          <w:rFonts w:ascii="Book Antiqua" w:hAnsi="Book Antiqua"/>
          <w:sz w:val="24"/>
          <w:szCs w:val="24"/>
        </w:rPr>
      </w:pPr>
    </w:p>
    <w:p w:rsidR="00203793" w:rsidRDefault="00203793" w:rsidP="00203793">
      <w:pPr>
        <w:pStyle w:val="BodyText"/>
        <w:spacing w:before="170"/>
        <w:ind w:right="129"/>
        <w:rPr>
          <w:rFonts w:ascii="Book Antiqua" w:hAnsi="Book Antiqua"/>
          <w:sz w:val="24"/>
          <w:szCs w:val="24"/>
        </w:rPr>
      </w:pPr>
    </w:p>
    <w:p w:rsidR="00053AAE" w:rsidRDefault="00053AAE" w:rsidP="00203793">
      <w:pPr>
        <w:pStyle w:val="BodyText"/>
        <w:spacing w:before="170"/>
        <w:ind w:right="129"/>
        <w:rPr>
          <w:rFonts w:ascii="Book Antiqua" w:hAnsi="Book Antiqua"/>
          <w:sz w:val="24"/>
          <w:szCs w:val="24"/>
        </w:rPr>
      </w:pPr>
    </w:p>
    <w:p w:rsidR="00273912" w:rsidRPr="00053AAE" w:rsidRDefault="00273912" w:rsidP="00273912">
      <w:pPr>
        <w:rPr>
          <w:rFonts w:ascii="Book Antiqua" w:hAnsi="Book Antiqua" w:cs="Arial"/>
          <w:b/>
          <w:sz w:val="24"/>
          <w:szCs w:val="24"/>
        </w:rPr>
      </w:pPr>
      <w:r w:rsidRPr="00053AAE">
        <w:rPr>
          <w:rFonts w:ascii="Book Antiqua" w:hAnsi="Book Antiqua" w:cs="Arial"/>
          <w:b/>
          <w:sz w:val="24"/>
          <w:szCs w:val="24"/>
        </w:rPr>
        <w:t>Term</w:t>
      </w:r>
    </w:p>
    <w:p w:rsidR="00273912" w:rsidRPr="00053AAE" w:rsidRDefault="00273912" w:rsidP="00273912">
      <w:pPr>
        <w:rPr>
          <w:rFonts w:ascii="Book Antiqua" w:hAnsi="Book Antiqua" w:cs="Arial"/>
          <w:b/>
          <w:sz w:val="24"/>
          <w:szCs w:val="24"/>
        </w:rPr>
      </w:pPr>
    </w:p>
    <w:p w:rsidR="00273912" w:rsidRPr="00053AAE" w:rsidRDefault="00273912" w:rsidP="00273912">
      <w:pPr>
        <w:rPr>
          <w:rFonts w:ascii="Book Antiqua" w:hAnsi="Book Antiqua" w:cs="Arial"/>
          <w:sz w:val="24"/>
          <w:szCs w:val="24"/>
        </w:rPr>
      </w:pPr>
      <w:r w:rsidRPr="00053AAE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053AAE">
        <w:rPr>
          <w:rFonts w:ascii="Book Antiqua" w:hAnsi="Book Antiqua" w:cs="Arial"/>
          <w:b/>
          <w:sz w:val="24"/>
          <w:szCs w:val="24"/>
        </w:rPr>
        <w:t>June 29, 2023</w:t>
      </w:r>
      <w:r w:rsidRPr="00053AAE">
        <w:rPr>
          <w:rFonts w:ascii="Book Antiqua" w:hAnsi="Book Antiqua" w:cs="Arial"/>
          <w:sz w:val="24"/>
          <w:szCs w:val="24"/>
        </w:rPr>
        <w:t xml:space="preserve"> to </w:t>
      </w:r>
      <w:r w:rsidRPr="00053AAE">
        <w:rPr>
          <w:rFonts w:ascii="Book Antiqua" w:hAnsi="Book Antiqua" w:cs="Arial"/>
          <w:b/>
          <w:sz w:val="24"/>
          <w:szCs w:val="24"/>
        </w:rPr>
        <w:t>July 28, 2023</w:t>
      </w:r>
      <w:r w:rsidRPr="00053AAE">
        <w:rPr>
          <w:rFonts w:ascii="Book Antiqua" w:hAnsi="Book Antiqua" w:cs="Arial"/>
          <w:sz w:val="24"/>
          <w:szCs w:val="24"/>
        </w:rPr>
        <w:t>.</w:t>
      </w:r>
    </w:p>
    <w:p w:rsidR="00273912" w:rsidRPr="00053AAE" w:rsidRDefault="00273912" w:rsidP="00273912">
      <w:pPr>
        <w:rPr>
          <w:rFonts w:ascii="Book Antiqua" w:hAnsi="Book Antiqua" w:cs="Arial"/>
          <w:b/>
          <w:sz w:val="24"/>
          <w:szCs w:val="24"/>
        </w:rPr>
      </w:pPr>
    </w:p>
    <w:p w:rsidR="00203793" w:rsidRPr="00053AAE" w:rsidRDefault="00203793" w:rsidP="00203793">
      <w:pPr>
        <w:pStyle w:val="BodyText"/>
        <w:spacing w:before="170"/>
        <w:ind w:right="129"/>
        <w:rPr>
          <w:rFonts w:ascii="Book Antiqua" w:hAnsi="Book Antiqua"/>
          <w:sz w:val="24"/>
          <w:szCs w:val="24"/>
        </w:rPr>
      </w:pPr>
    </w:p>
    <w:p w:rsidR="00203793" w:rsidRPr="00203793" w:rsidRDefault="00203793">
      <w:pPr>
        <w:pStyle w:val="BodyText"/>
        <w:spacing w:before="170"/>
        <w:ind w:right="129"/>
        <w:rPr>
          <w:rFonts w:ascii="Book Antiqua" w:hAnsi="Book Antiqua"/>
          <w:sz w:val="24"/>
          <w:szCs w:val="24"/>
        </w:rPr>
      </w:pPr>
    </w:p>
    <w:sectPr w:rsidR="00203793" w:rsidRPr="00203793" w:rsidSect="00C4642E">
      <w:type w:val="continuous"/>
      <w:pgSz w:w="11910" w:h="16840"/>
      <w:pgMar w:top="760" w:right="124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614" w:rsidRDefault="00D76614" w:rsidP="00E97C1F">
      <w:r>
        <w:separator/>
      </w:r>
    </w:p>
  </w:endnote>
  <w:endnote w:type="continuationSeparator" w:id="1">
    <w:p w:rsidR="00D76614" w:rsidRDefault="00D76614" w:rsidP="00E97C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614" w:rsidRDefault="00D76614" w:rsidP="00E97C1F">
      <w:r>
        <w:separator/>
      </w:r>
    </w:p>
  </w:footnote>
  <w:footnote w:type="continuationSeparator" w:id="1">
    <w:p w:rsidR="00D76614" w:rsidRDefault="00D76614" w:rsidP="00E97C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863EF"/>
    <w:multiLevelType w:val="hybridMultilevel"/>
    <w:tmpl w:val="1ED40E7C"/>
    <w:lvl w:ilvl="0" w:tplc="27A07BA6">
      <w:numFmt w:val="bullet"/>
      <w:lvlText w:val="●"/>
      <w:lvlJc w:val="left"/>
      <w:pPr>
        <w:ind w:left="83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F421EC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ar-SA"/>
      </w:rPr>
    </w:lvl>
    <w:lvl w:ilvl="2" w:tplc="AFD281F6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45D6B62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4" w:tplc="E4622764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5" w:tplc="B4FA6106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6" w:tplc="9738AC42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7" w:tplc="DE1A2416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8" w:tplc="B84017BE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</w:abstractNum>
  <w:abstractNum w:abstractNumId="1">
    <w:nsid w:val="3B3C3426"/>
    <w:multiLevelType w:val="hybridMultilevel"/>
    <w:tmpl w:val="77B86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2835E9"/>
    <w:rsid w:val="00053AAE"/>
    <w:rsid w:val="00127C7B"/>
    <w:rsid w:val="00203793"/>
    <w:rsid w:val="00273912"/>
    <w:rsid w:val="002835E9"/>
    <w:rsid w:val="003C1877"/>
    <w:rsid w:val="00455A29"/>
    <w:rsid w:val="00C4642E"/>
    <w:rsid w:val="00D76614"/>
    <w:rsid w:val="00E97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4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4642E"/>
  </w:style>
  <w:style w:type="paragraph" w:styleId="Title">
    <w:name w:val="Title"/>
    <w:basedOn w:val="Normal"/>
    <w:uiPriority w:val="10"/>
    <w:qFormat/>
    <w:rsid w:val="00C4642E"/>
    <w:pPr>
      <w:ind w:left="140"/>
      <w:jc w:val="both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4642E"/>
  </w:style>
  <w:style w:type="paragraph" w:customStyle="1" w:styleId="TableParagraph">
    <w:name w:val="Table Paragraph"/>
    <w:basedOn w:val="Normal"/>
    <w:uiPriority w:val="1"/>
    <w:qFormat/>
    <w:rsid w:val="00C4642E"/>
    <w:pPr>
      <w:ind w:left="117"/>
    </w:pPr>
  </w:style>
  <w:style w:type="character" w:styleId="Hyperlink">
    <w:name w:val="Hyperlink"/>
    <w:basedOn w:val="DefaultParagraphFont"/>
    <w:uiPriority w:val="99"/>
    <w:unhideWhenUsed/>
    <w:rsid w:val="00127C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127C7B"/>
    <w:pPr>
      <w:widowControl/>
      <w:autoSpaceDE/>
      <w:autoSpaceDN/>
    </w:pPr>
    <w:rPr>
      <w:rFonts w:ascii="Calibri" w:eastAsia="Calibri" w:hAnsi="Calibri" w:cs="Calibri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27C7B"/>
    <w:pPr>
      <w:widowControl/>
      <w:adjustRightInd w:val="0"/>
    </w:pPr>
    <w:rPr>
      <w:rFonts w:ascii="Arial" w:hAnsi="Arial" w:cs="Arial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semiHidden/>
    <w:unhideWhenUsed/>
    <w:rsid w:val="00E97C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C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97C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C1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vi.mehta@accessh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Knoeff</dc:creator>
  <cp:lastModifiedBy>Home</cp:lastModifiedBy>
  <cp:revision>8</cp:revision>
  <dcterms:created xsi:type="dcterms:W3CDTF">2023-06-27T11:42:00Z</dcterms:created>
  <dcterms:modified xsi:type="dcterms:W3CDTF">2023-06-28T10:29:00Z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2023-06-27T00:00:00Z</vt:filetime>
  </property>
</Properties>
</file>