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C8B" w:rsidRDefault="00B876F3" w:rsidP="007341D6">
      <w:pPr>
        <w:pBdr>
          <w:top w:val="nil"/>
          <w:left w:val="nil"/>
          <w:bottom w:val="nil"/>
          <w:right w:val="nil"/>
          <w:between w:val="nil"/>
        </w:pBdr>
        <w:spacing w:line="240" w:lineRule="auto"/>
        <w:ind w:leftChars="0" w:left="0" w:firstLineChars="0" w:firstLine="0"/>
        <w:rPr>
          <w:rFonts w:ascii="Cambria" w:eastAsia="Cambria" w:hAnsi="Cambria" w:cs="Cambria"/>
          <w:color w:val="000000"/>
        </w:rPr>
      </w:pPr>
      <w:r>
        <w:rPr>
          <w:rFonts w:ascii="Cambria" w:eastAsia="Cambria" w:hAnsi="Cambria" w:cs="Cambria"/>
          <w:b/>
          <w:color w:val="000000"/>
        </w:rPr>
        <w:t xml:space="preserve">PROJECT TITLE: </w:t>
      </w:r>
      <w:r>
        <w:rPr>
          <w:rFonts w:ascii="Cambria" w:eastAsia="Cambria" w:hAnsi="Cambria" w:cs="Cambria"/>
          <w:color w:val="000000"/>
        </w:rPr>
        <w:t>Capacity Building of Grantees on Transversal Issues in State Capacity and Finance</w:t>
      </w:r>
    </w:p>
    <w:p w:rsidR="00DA4C8B" w:rsidRDefault="00DA4C8B">
      <w:pPr>
        <w:pBdr>
          <w:top w:val="nil"/>
          <w:left w:val="nil"/>
          <w:bottom w:val="nil"/>
          <w:right w:val="nil"/>
          <w:between w:val="nil"/>
        </w:pBdr>
        <w:spacing w:line="240" w:lineRule="auto"/>
        <w:ind w:left="0" w:hanging="2"/>
        <w:rPr>
          <w:rFonts w:ascii="Cambria" w:eastAsia="Cambria" w:hAnsi="Cambria" w:cs="Cambria"/>
          <w:color w:val="000000"/>
        </w:rPr>
      </w:pPr>
      <w:bookmarkStart w:id="0" w:name="_heading=h.ank0slj23bst" w:colFirst="0" w:colLast="0"/>
      <w:bookmarkEnd w:id="0"/>
    </w:p>
    <w:p w:rsidR="00DA4C8B" w:rsidRDefault="00B876F3">
      <w:pPr>
        <w:pBdr>
          <w:top w:val="nil"/>
          <w:left w:val="nil"/>
          <w:bottom w:val="nil"/>
          <w:right w:val="nil"/>
          <w:between w:val="nil"/>
        </w:pBdr>
        <w:spacing w:line="240" w:lineRule="auto"/>
        <w:ind w:left="0" w:hanging="2"/>
        <w:rPr>
          <w:rFonts w:ascii="Cambria" w:eastAsia="Cambria" w:hAnsi="Cambria" w:cs="Cambria"/>
          <w:color w:val="000000"/>
        </w:rPr>
      </w:pPr>
      <w:r>
        <w:rPr>
          <w:rFonts w:ascii="Cambria" w:eastAsia="Cambria" w:hAnsi="Cambria" w:cs="Cambria"/>
          <w:b/>
          <w:color w:val="000000"/>
        </w:rPr>
        <w:t>BACKGROUND AND CONTEXT</w:t>
      </w:r>
    </w:p>
    <w:p w:rsidR="00DA4C8B" w:rsidRDefault="00B876F3">
      <w:pPr>
        <w:spacing w:line="276" w:lineRule="auto"/>
        <w:ind w:left="0" w:hanging="2"/>
        <w:jc w:val="both"/>
        <w:rPr>
          <w:rFonts w:ascii="Cambria" w:eastAsia="Cambria" w:hAnsi="Cambria" w:cs="Cambria"/>
        </w:rPr>
      </w:pPr>
      <w:r>
        <w:rPr>
          <w:rFonts w:ascii="Cambria" w:eastAsia="Cambria" w:hAnsi="Cambria" w:cs="Cambria"/>
        </w:rPr>
        <w:t>The Indian health sector and Sanitation have made significant strides over the past few years. The average life expectancy has increased, diseases such as polio and yaws have been eradicated and the rate of infections such as kala-azar are on the decline.</w:t>
      </w:r>
      <w:r>
        <w:rPr>
          <w:rFonts w:ascii="Cambria" w:eastAsia="Cambria" w:hAnsi="Cambria" w:cs="Cambria"/>
          <w:vertAlign w:val="superscript"/>
        </w:rPr>
        <w:footnoteReference w:id="2"/>
      </w:r>
      <w:r>
        <w:rPr>
          <w:rFonts w:ascii="Cambria" w:eastAsia="Cambria" w:hAnsi="Cambria" w:cs="Cambria"/>
        </w:rPr>
        <w:t xml:space="preserve"> According to the World Contraceptive Use data maintained by the UN, contraceptive prevalence among women aged 15-49 years in India increased from 38.6 percent in 2000 to 56 percent in 2020</w:t>
      </w:r>
      <w:r>
        <w:rPr>
          <w:rFonts w:ascii="Cambria" w:eastAsia="Cambria" w:hAnsi="Cambria" w:cs="Cambria"/>
          <w:vertAlign w:val="superscript"/>
        </w:rPr>
        <w:footnoteReference w:id="3"/>
      </w:r>
      <w:r>
        <w:rPr>
          <w:rFonts w:ascii="Cambria" w:eastAsia="Cambria" w:hAnsi="Cambria" w:cs="Cambria"/>
        </w:rPr>
        <w:t>. Despite the progress, communicable diseases such as Tuberculosis (TB) are a major public health concern in India. Additionally, the number of people defecating in the open in India has reduced significantly by an estimated 450 million people. However, each of the national efforts such as setting up private sector partnerships</w:t>
      </w:r>
      <w:r>
        <w:rPr>
          <w:rFonts w:ascii="Cambria" w:eastAsia="Cambria" w:hAnsi="Cambria" w:cs="Cambria"/>
          <w:vertAlign w:val="superscript"/>
        </w:rPr>
        <w:footnoteReference w:id="4"/>
      </w:r>
      <w:r>
        <w:rPr>
          <w:rFonts w:ascii="Cambria" w:eastAsia="Cambria" w:hAnsi="Cambria" w:cs="Cambria"/>
        </w:rPr>
        <w:t xml:space="preserve"> to increase universal health coverage; improving procurement and market reach to improve contraceptive options and their information for family planning; and outsourcing collection, segregation, and treatment of garbage; are rife with state capacity issues. Misalignment in clarity of roles and know-how to perform them, having the incentives to perform well, and the conducive conditions for efforts to deliver cause state capacity issues. Such misalignments can be uncovered through the </w:t>
      </w:r>
      <w:r>
        <w:rPr>
          <w:rFonts w:ascii="Cambria" w:eastAsia="Cambria" w:hAnsi="Cambria" w:cs="Cambria"/>
          <w:highlight w:val="white"/>
        </w:rPr>
        <w:t>MMO (means, motives, opportunity) of all primary agents responsible for delivering state services in a particular system.</w:t>
      </w:r>
      <w:r>
        <w:rPr>
          <w:rFonts w:ascii="Cambria" w:eastAsia="Cambria" w:hAnsi="Cambria" w:cs="Cambria"/>
          <w:highlight w:val="white"/>
          <w:vertAlign w:val="superscript"/>
        </w:rPr>
        <w:t>4</w:t>
      </w:r>
    </w:p>
    <w:p w:rsidR="00DA4C8B" w:rsidRDefault="00DA4C8B">
      <w:pPr>
        <w:spacing w:line="276" w:lineRule="auto"/>
        <w:ind w:left="0" w:hanging="2"/>
        <w:jc w:val="both"/>
        <w:rPr>
          <w:rFonts w:ascii="Cambria" w:eastAsia="Cambria" w:hAnsi="Cambria" w:cs="Cambria"/>
        </w:rPr>
      </w:pPr>
    </w:p>
    <w:p w:rsidR="00DA4C8B" w:rsidRDefault="00B876F3">
      <w:pPr>
        <w:spacing w:line="276" w:lineRule="auto"/>
        <w:ind w:left="0" w:hanging="2"/>
        <w:jc w:val="both"/>
        <w:rPr>
          <w:rFonts w:ascii="Cambria" w:eastAsia="Cambria" w:hAnsi="Cambria" w:cs="Cambria"/>
          <w:sz w:val="20"/>
          <w:szCs w:val="20"/>
        </w:rPr>
      </w:pPr>
      <w:r>
        <w:rPr>
          <w:rFonts w:ascii="Cambria" w:eastAsia="Cambria" w:hAnsi="Cambria" w:cs="Cambria"/>
        </w:rPr>
        <w:t>The State Capacity framework identifies three transversal issues of state capacity: i</w:t>
      </w:r>
      <w:r>
        <w:rPr>
          <w:rFonts w:ascii="Cambria" w:eastAsia="Cambria" w:hAnsi="Cambria" w:cs="Cambria"/>
          <w:highlight w:val="white"/>
        </w:rPr>
        <w:t>mpediments in the public finance architecture, high administrative burden, and ineffective accountability systems. The various complex and interconnected challenges of state capacity in any state system, including health service delivery, can be divided into these three broad categories. Further, a combination of fifteen enabling actions is suggested, which when applied independently or in any suitable combination, work towards addressing the transversal issues of state capacity.</w:t>
      </w:r>
      <w:r>
        <w:rPr>
          <w:rFonts w:ascii="Cambria" w:eastAsia="Cambria" w:hAnsi="Cambria" w:cs="Cambria"/>
          <w:highlight w:val="white"/>
          <w:vertAlign w:val="superscript"/>
        </w:rPr>
        <w:footnoteReference w:id="5"/>
      </w:r>
    </w:p>
    <w:p w:rsidR="00DA4C8B" w:rsidRDefault="00B876F3">
      <w:pPr>
        <w:spacing w:line="276" w:lineRule="auto"/>
        <w:ind w:left="0" w:hanging="2"/>
        <w:rPr>
          <w:rFonts w:ascii="Cambria" w:eastAsia="Cambria" w:hAnsi="Cambria" w:cs="Cambria"/>
        </w:rPr>
      </w:pPr>
      <w:r>
        <w:rPr>
          <w:rFonts w:ascii="Cambria" w:eastAsia="Cambria" w:hAnsi="Cambria" w:cs="Cambria"/>
          <w:noProof/>
          <w:lang w:eastAsia="en-US"/>
        </w:rPr>
        <w:drawing>
          <wp:anchor distT="0" distB="0" distL="114300" distR="114300" simplePos="0" relativeHeight="251658240" behindDoc="0" locked="0" layoutInCell="1" allowOverlap="1">
            <wp:simplePos x="0" y="0"/>
            <wp:positionH relativeFrom="column">
              <wp:posOffset>1623951</wp:posOffset>
            </wp:positionH>
            <wp:positionV relativeFrom="paragraph">
              <wp:posOffset>407</wp:posOffset>
            </wp:positionV>
            <wp:extent cx="2654935" cy="2523490"/>
            <wp:effectExtent l="0" t="0" r="0" b="3810"/>
            <wp:wrapSquare wrapText="bothSides"/>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654935" cy="2523490"/>
                    </a:xfrm>
                    <a:prstGeom prst="rect">
                      <a:avLst/>
                    </a:prstGeom>
                    <a:ln/>
                  </pic:spPr>
                </pic:pic>
              </a:graphicData>
            </a:graphic>
          </wp:anchor>
        </w:drawing>
      </w: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2A6BEC" w:rsidRDefault="002A6BEC">
      <w:pPr>
        <w:spacing w:line="276" w:lineRule="auto"/>
        <w:ind w:left="0" w:hanging="2"/>
        <w:jc w:val="center"/>
        <w:rPr>
          <w:rFonts w:ascii="Cambria" w:eastAsia="Cambria" w:hAnsi="Cambria" w:cs="Cambria"/>
          <w:sz w:val="16"/>
          <w:szCs w:val="16"/>
        </w:rPr>
      </w:pPr>
    </w:p>
    <w:p w:rsidR="00DA4C8B" w:rsidRDefault="00B876F3">
      <w:pPr>
        <w:spacing w:line="276" w:lineRule="auto"/>
        <w:ind w:left="0" w:hanging="2"/>
        <w:jc w:val="center"/>
        <w:rPr>
          <w:rFonts w:ascii="Cambria" w:eastAsia="Cambria" w:hAnsi="Cambria" w:cs="Cambria"/>
          <w:sz w:val="16"/>
          <w:szCs w:val="16"/>
        </w:rPr>
      </w:pPr>
      <w:r>
        <w:rPr>
          <w:rFonts w:ascii="Cambria" w:eastAsia="Cambria" w:hAnsi="Cambria" w:cs="Cambria"/>
          <w:sz w:val="16"/>
          <w:szCs w:val="16"/>
        </w:rPr>
        <w:t>Fig 1. The Enabling Actions</w:t>
      </w:r>
    </w:p>
    <w:p w:rsidR="00DA4C8B" w:rsidRDefault="00DA4C8B">
      <w:pPr>
        <w:spacing w:line="276" w:lineRule="auto"/>
        <w:ind w:left="0" w:hanging="2"/>
        <w:jc w:val="center"/>
        <w:rPr>
          <w:rFonts w:ascii="Cambria" w:eastAsia="Cambria" w:hAnsi="Cambria" w:cs="Cambria"/>
          <w:sz w:val="16"/>
          <w:szCs w:val="16"/>
        </w:rPr>
      </w:pPr>
    </w:p>
    <w:p w:rsidR="00DA4C8B" w:rsidRDefault="00B876F3">
      <w:pPr>
        <w:spacing w:after="292" w:line="269" w:lineRule="auto"/>
        <w:ind w:left="0" w:hanging="2"/>
        <w:jc w:val="both"/>
        <w:rPr>
          <w:rFonts w:ascii="Cambria" w:eastAsia="Cambria" w:hAnsi="Cambria" w:cs="Cambria"/>
        </w:rPr>
      </w:pPr>
      <w:r>
        <w:rPr>
          <w:rFonts w:ascii="Cambria" w:eastAsia="Cambria" w:hAnsi="Cambria" w:cs="Cambria"/>
          <w:color w:val="0E0E31"/>
        </w:rPr>
        <w:t xml:space="preserve">One of the core bodies of work of the SS&amp;P cluster is to build the execution capacity of the state, specifically for health service delivery in India. In furtherance of this, the State Capacity framework can be employed by diverse stakeholders to transform the capacity of the state to deliver services to citizens. </w:t>
      </w:r>
    </w:p>
    <w:p w:rsidR="00DA4C8B" w:rsidRDefault="00B876F3">
      <w:pPr>
        <w:pStyle w:val="Heading1"/>
        <w:spacing w:after="199"/>
        <w:ind w:left="0" w:hanging="2"/>
        <w:jc w:val="both"/>
        <w:rPr>
          <w:rFonts w:ascii="Cambria" w:eastAsia="Cambria" w:hAnsi="Cambria" w:cs="Cambria"/>
          <w:sz w:val="22"/>
          <w:szCs w:val="22"/>
        </w:rPr>
      </w:pPr>
      <w:r>
        <w:rPr>
          <w:rFonts w:ascii="Cambria" w:eastAsia="Cambria" w:hAnsi="Cambria" w:cs="Cambria"/>
          <w:sz w:val="22"/>
          <w:szCs w:val="22"/>
        </w:rPr>
        <w:t>GOALS OF THE ENGAGEMENT</w:t>
      </w:r>
    </w:p>
    <w:p w:rsidR="00DA4C8B" w:rsidRDefault="00B876F3">
      <w:pPr>
        <w:spacing w:before="120"/>
        <w:ind w:left="0" w:hanging="2"/>
        <w:jc w:val="both"/>
        <w:rPr>
          <w:rFonts w:ascii="Cambria" w:eastAsia="Cambria" w:hAnsi="Cambria" w:cs="Cambria"/>
          <w:color w:val="0E0E31"/>
        </w:rPr>
      </w:pPr>
      <w:r>
        <w:rPr>
          <w:rFonts w:ascii="Cambria" w:eastAsia="Cambria" w:hAnsi="Cambria" w:cs="Cambria"/>
          <w:color w:val="0E0E31"/>
        </w:rPr>
        <w:t>Program teams at BMGF ICO that work on health-related issues (for example the TB program team) face a number of challenges in relation to state capacity in their work. There is a need build convergence between SS&amp;P, relevant grantees and TB, Family Planning and Sanitation teams at ICO towards meaningful and effective collaboration in addressing the core state capacity challenges faced by the program teams. Sattva aims to work closely with SS&amp;P cluster to frame to uncover pain points in the innovations being driven by investments of each of the program teams. Sattva will also provide illustrative examples of how the state capacity framework and its offerings could be actualised to enable sustained achievement of outcomes of the program teams.</w:t>
      </w:r>
    </w:p>
    <w:p w:rsidR="00DA4C8B" w:rsidRDefault="00B876F3">
      <w:pPr>
        <w:spacing w:before="120"/>
        <w:ind w:left="0" w:hanging="2"/>
        <w:jc w:val="both"/>
        <w:rPr>
          <w:rFonts w:ascii="Cambria" w:eastAsia="Cambria" w:hAnsi="Cambria" w:cs="Cambria"/>
          <w:color w:val="0E0E31"/>
        </w:rPr>
      </w:pPr>
      <w:r>
        <w:rPr>
          <w:rFonts w:ascii="Cambria" w:eastAsia="Cambria" w:hAnsi="Cambria" w:cs="Cambria"/>
          <w:color w:val="0E0E31"/>
        </w:rPr>
        <w:t>Sattva seeks to support and assist the SS&amp;P cluster at ICO in working closely with SS&amp;P to understand the complex pain points the three program teams encounter and provide knowledge and strategic support through the following scope:</w:t>
      </w:r>
    </w:p>
    <w:p w:rsidR="00DA4C8B" w:rsidRDefault="00B876F3" w:rsidP="002A6BEC">
      <w:pPr>
        <w:numPr>
          <w:ilvl w:val="0"/>
          <w:numId w:val="11"/>
        </w:numPr>
        <w:spacing w:before="120"/>
        <w:ind w:leftChars="0" w:left="360" w:firstLineChars="0" w:hanging="362"/>
        <w:jc w:val="both"/>
        <w:rPr>
          <w:rFonts w:ascii="Cambria" w:eastAsia="Cambria" w:hAnsi="Cambria" w:cs="Cambria"/>
          <w:color w:val="0E0E31"/>
        </w:rPr>
      </w:pPr>
      <w:r>
        <w:rPr>
          <w:rFonts w:ascii="Cambria" w:eastAsia="Cambria" w:hAnsi="Cambria" w:cs="Cambria"/>
          <w:color w:val="0E0E31"/>
        </w:rPr>
        <w:t>Uncover the major ‘pain points’ or challenges that the program team face with regards to state capacity though secondary research</w:t>
      </w:r>
    </w:p>
    <w:p w:rsidR="00DA4C8B" w:rsidRDefault="00B876F3" w:rsidP="002A6BEC">
      <w:pPr>
        <w:numPr>
          <w:ilvl w:val="0"/>
          <w:numId w:val="11"/>
        </w:numPr>
        <w:ind w:leftChars="0" w:left="360" w:firstLineChars="0" w:hanging="362"/>
        <w:jc w:val="both"/>
        <w:rPr>
          <w:rFonts w:ascii="Cambria" w:eastAsia="Cambria" w:hAnsi="Cambria" w:cs="Cambria"/>
          <w:color w:val="0E0E31"/>
        </w:rPr>
      </w:pPr>
      <w:r>
        <w:rPr>
          <w:rFonts w:ascii="Cambria" w:eastAsia="Cambria" w:hAnsi="Cambria" w:cs="Cambria"/>
          <w:color w:val="0E0E31"/>
        </w:rPr>
        <w:t>Facilitate knowledge sessionswith SS&amp;P towards identifying potential pathways to solve for identified pain points</w:t>
      </w:r>
    </w:p>
    <w:p w:rsidR="00DA4C8B" w:rsidRDefault="00B876F3" w:rsidP="002A6BEC">
      <w:pPr>
        <w:numPr>
          <w:ilvl w:val="0"/>
          <w:numId w:val="11"/>
        </w:numPr>
        <w:ind w:leftChars="0" w:left="360" w:firstLineChars="0" w:hanging="362"/>
        <w:jc w:val="both"/>
        <w:rPr>
          <w:rFonts w:ascii="Cambria" w:eastAsia="Cambria" w:hAnsi="Cambria" w:cs="Cambria"/>
          <w:color w:val="0E0E31"/>
        </w:rPr>
      </w:pPr>
      <w:bookmarkStart w:id="1" w:name="_heading=h.mlwcztggqes0" w:colFirst="0" w:colLast="0"/>
      <w:bookmarkEnd w:id="1"/>
      <w:r>
        <w:rPr>
          <w:rFonts w:ascii="Cambria" w:eastAsia="Cambria" w:hAnsi="Cambria" w:cs="Cambria"/>
          <w:color w:val="0E0E31"/>
        </w:rPr>
        <w:t>Provide illustrative examples of sustainable and feasible solutions that address the most critical pain points identified</w:t>
      </w:r>
    </w:p>
    <w:p w:rsidR="00DA4C8B" w:rsidRDefault="00DA4C8B">
      <w:pPr>
        <w:pStyle w:val="Heading1"/>
        <w:spacing w:after="199"/>
        <w:ind w:left="0" w:hanging="2"/>
        <w:jc w:val="both"/>
        <w:rPr>
          <w:rFonts w:ascii="Cambria" w:eastAsia="Cambria" w:hAnsi="Cambria" w:cs="Cambria"/>
          <w:sz w:val="22"/>
          <w:szCs w:val="22"/>
        </w:rPr>
      </w:pPr>
    </w:p>
    <w:p w:rsidR="00DA4C8B" w:rsidRDefault="00B876F3">
      <w:pPr>
        <w:pStyle w:val="Heading1"/>
        <w:spacing w:after="199"/>
        <w:ind w:left="0" w:hanging="2"/>
        <w:jc w:val="both"/>
        <w:rPr>
          <w:rFonts w:ascii="Cambria" w:eastAsia="Cambria" w:hAnsi="Cambria" w:cs="Cambria"/>
          <w:sz w:val="22"/>
          <w:szCs w:val="22"/>
        </w:rPr>
      </w:pPr>
      <w:r>
        <w:rPr>
          <w:rFonts w:ascii="Cambria" w:eastAsia="Cambria" w:hAnsi="Cambria" w:cs="Cambria"/>
          <w:sz w:val="22"/>
          <w:szCs w:val="22"/>
        </w:rPr>
        <w:t>APPROACH</w:t>
      </w:r>
    </w:p>
    <w:tbl>
      <w:tblPr>
        <w:tblStyle w:val="ad"/>
        <w:tblW w:w="10080" w:type="dxa"/>
        <w:tblInd w:w="-10" w:type="dxa"/>
        <w:tblBorders>
          <w:top w:val="nil"/>
          <w:left w:val="nil"/>
          <w:bottom w:val="nil"/>
          <w:right w:val="nil"/>
          <w:insideH w:val="nil"/>
          <w:insideV w:val="nil"/>
        </w:tblBorders>
        <w:tblLayout w:type="fixed"/>
        <w:tblLook w:val="0000"/>
      </w:tblPr>
      <w:tblGrid>
        <w:gridCol w:w="2430"/>
        <w:gridCol w:w="7650"/>
      </w:tblGrid>
      <w:tr w:rsidR="00DA4C8B" w:rsidTr="002A6BEC">
        <w:trPr>
          <w:trHeight w:val="390"/>
        </w:trPr>
        <w:tc>
          <w:tcPr>
            <w:tcW w:w="2430" w:type="dxa"/>
            <w:tcBorders>
              <w:top w:val="single" w:sz="8" w:space="0" w:color="999999"/>
              <w:left w:val="single" w:sz="8" w:space="0" w:color="999999"/>
              <w:bottom w:val="single" w:sz="8" w:space="0" w:color="999999"/>
              <w:right w:val="single" w:sz="8" w:space="0" w:color="999999"/>
            </w:tcBorders>
            <w:shd w:val="clear" w:color="auto" w:fill="38761D"/>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color w:val="FFFFFF"/>
              </w:rPr>
            </w:pPr>
            <w:r>
              <w:rPr>
                <w:rFonts w:ascii="Cambria" w:eastAsia="Cambria" w:hAnsi="Cambria" w:cs="Cambria"/>
                <w:b/>
                <w:color w:val="FFFFFF"/>
              </w:rPr>
              <w:t>Deliverables</w:t>
            </w:r>
          </w:p>
        </w:tc>
        <w:tc>
          <w:tcPr>
            <w:tcW w:w="7650" w:type="dxa"/>
            <w:tcBorders>
              <w:top w:val="single" w:sz="8" w:space="0" w:color="CCCCCC"/>
              <w:left w:val="single" w:sz="8" w:space="0" w:color="999999"/>
              <w:bottom w:val="single" w:sz="8" w:space="0" w:color="CCCCCC"/>
              <w:right w:val="single" w:sz="8" w:space="0" w:color="CCCCCC"/>
            </w:tcBorders>
            <w:shd w:val="clear" w:color="auto" w:fill="38761D"/>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color w:val="FFFFFF"/>
              </w:rPr>
            </w:pPr>
            <w:r>
              <w:rPr>
                <w:rFonts w:ascii="Cambria" w:eastAsia="Cambria" w:hAnsi="Cambria" w:cs="Cambria"/>
                <w:b/>
                <w:color w:val="FFFFFF"/>
              </w:rPr>
              <w:t>Key Activities</w:t>
            </w:r>
          </w:p>
        </w:tc>
      </w:tr>
      <w:tr w:rsidR="00DA4C8B" w:rsidTr="002A6BEC">
        <w:trPr>
          <w:trHeight w:val="315"/>
        </w:trPr>
        <w:tc>
          <w:tcPr>
            <w:tcW w:w="10080" w:type="dxa"/>
            <w:gridSpan w:val="2"/>
            <w:tcBorders>
              <w:top w:val="single" w:sz="8" w:space="0" w:color="999999"/>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b/>
              </w:rPr>
              <w:t xml:space="preserve">Stage 1: Research on state capacity pain points and innovations </w:t>
            </w:r>
            <w:r>
              <w:rPr>
                <w:rFonts w:ascii="Cambria" w:eastAsia="Cambria" w:hAnsi="Cambria" w:cs="Cambria"/>
              </w:rPr>
              <w:t>whereSattva will work  to uncover challenges and innovative solutions in relation to State Capacity that impact service delivery in Tuberculosis(TB), Family Planning and Sanitation programmes</w:t>
            </w:r>
          </w:p>
        </w:tc>
      </w:tr>
      <w:tr w:rsidR="00DA4C8B" w:rsidTr="002A6BEC">
        <w:trPr>
          <w:cantSplit/>
          <w:trHeight w:val="315"/>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DA4C8B">
            <w:pPr>
              <w:widowControl w:val="0"/>
              <w:spacing w:line="276" w:lineRule="auto"/>
              <w:ind w:left="0" w:hanging="2"/>
              <w:rPr>
                <w:rFonts w:ascii="Cambria" w:eastAsia="Cambria" w:hAnsi="Cambria" w:cs="Cambria"/>
              </w:rPr>
            </w:pPr>
          </w:p>
          <w:p w:rsidR="00DA4C8B" w:rsidRDefault="00B876F3">
            <w:pPr>
              <w:widowControl w:val="0"/>
              <w:spacing w:line="276" w:lineRule="auto"/>
              <w:ind w:left="0" w:hanging="2"/>
              <w:rPr>
                <w:rFonts w:ascii="Cambria" w:eastAsia="Cambria" w:hAnsi="Cambria" w:cs="Cambria"/>
              </w:rPr>
            </w:pPr>
            <w:r>
              <w:rPr>
                <w:rFonts w:ascii="Cambria" w:eastAsia="Cambria" w:hAnsi="Cambria" w:cs="Cambria"/>
                <w:b/>
              </w:rPr>
              <w:t>Knowledge Deck on pain points in state capacity</w:t>
            </w: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Identify stakeholders, programmatic interventions, government department workflows and key priorities of the government</w:t>
            </w:r>
          </w:p>
        </w:tc>
      </w:tr>
      <w:tr w:rsidR="00DA4C8B"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DA4C8B">
            <w:pPr>
              <w:widowControl w:val="0"/>
              <w:pBdr>
                <w:top w:val="nil"/>
                <w:left w:val="nil"/>
                <w:bottom w:val="nil"/>
                <w:right w:val="nil"/>
                <w:between w:val="nil"/>
              </w:pBdr>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Secondary research on State Capacity pain points impacting central and state led programs in TB, Family Planning and Sanitation</w:t>
            </w:r>
          </w:p>
        </w:tc>
      </w:tr>
      <w:tr w:rsidR="00DA4C8B"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DA4C8B">
            <w:pPr>
              <w:widowControl w:val="0"/>
              <w:pBdr>
                <w:top w:val="nil"/>
                <w:left w:val="nil"/>
                <w:bottom w:val="nil"/>
                <w:right w:val="nil"/>
                <w:between w:val="nil"/>
              </w:pBdr>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 xml:space="preserve">Lead knowledge transfer sessions with the SS&amp;P team to build tacit knowledge on transversal state capacity pain points and areas of intervention </w:t>
            </w:r>
          </w:p>
        </w:tc>
      </w:tr>
      <w:tr w:rsidR="00DA4C8B" w:rsidTr="002A6BEC">
        <w:trPr>
          <w:cantSplit/>
          <w:trHeight w:val="660"/>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DA4C8B">
            <w:pPr>
              <w:widowControl w:val="0"/>
              <w:ind w:left="0" w:hanging="2"/>
              <w:rPr>
                <w:rFonts w:ascii="Cambria" w:eastAsia="Cambria" w:hAnsi="Cambria" w:cs="Cambria"/>
                <w:b/>
              </w:rPr>
            </w:pPr>
          </w:p>
          <w:p w:rsidR="00DA4C8B" w:rsidRDefault="00B876F3">
            <w:pPr>
              <w:widowControl w:val="0"/>
              <w:ind w:left="0" w:hanging="2"/>
              <w:rPr>
                <w:rFonts w:ascii="Cambria" w:eastAsia="Cambria" w:hAnsi="Cambria" w:cs="Cambria"/>
              </w:rPr>
            </w:pPr>
            <w:r>
              <w:rPr>
                <w:rFonts w:ascii="Cambria" w:eastAsia="Cambria" w:hAnsi="Cambria" w:cs="Cambria"/>
                <w:b/>
              </w:rPr>
              <w:t xml:space="preserve">Knowledge Deck on </w:t>
            </w:r>
            <w:r>
              <w:rPr>
                <w:rFonts w:ascii="Cambria" w:eastAsia="Cambria" w:hAnsi="Cambria" w:cs="Cambria"/>
                <w:b/>
              </w:rPr>
              <w:lastRenderedPageBreak/>
              <w:t>solution ecosystem for transversal state capacity issues</w:t>
            </w: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lastRenderedPageBreak/>
              <w:t>Secondary research on scope, outcomes and potential impact of investments made by program teams at ICO in TB, Family Planning and Sanitation</w:t>
            </w:r>
          </w:p>
        </w:tc>
      </w:tr>
      <w:tr w:rsidR="00DA4C8B" w:rsidTr="002A6BEC">
        <w:trPr>
          <w:cantSplit/>
          <w:trHeight w:val="660"/>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DA4C8B">
            <w:pPr>
              <w:widowControl w:val="0"/>
              <w:pBdr>
                <w:top w:val="nil"/>
                <w:left w:val="nil"/>
                <w:bottom w:val="nil"/>
                <w:right w:val="nil"/>
                <w:between w:val="nil"/>
              </w:pBdr>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Identify innovations by GoI and technical support being provided by private sector and civil society organizations to mitigate state capacity issues</w:t>
            </w:r>
          </w:p>
        </w:tc>
      </w:tr>
      <w:tr w:rsidR="00DA4C8B"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DA4C8B">
            <w:pPr>
              <w:widowControl w:val="0"/>
              <w:pBdr>
                <w:top w:val="nil"/>
                <w:left w:val="nil"/>
                <w:bottom w:val="nil"/>
                <w:right w:val="nil"/>
                <w:between w:val="nil"/>
              </w:pBdr>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Identify areas of convergence between the work of SS&amp;P and the verticals, that can mitigate state capacity pain points that cause inefficiencies in service delivery</w:t>
            </w:r>
          </w:p>
        </w:tc>
      </w:tr>
      <w:tr w:rsidR="00DA4C8B"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DA4C8B">
            <w:pPr>
              <w:widowControl w:val="0"/>
              <w:pBdr>
                <w:top w:val="nil"/>
                <w:left w:val="nil"/>
                <w:bottom w:val="nil"/>
                <w:right w:val="nil"/>
                <w:between w:val="nil"/>
              </w:pBdr>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Provide illustrative examples of how SS&amp;P’s models can enhance impact of current investments of the program teams</w:t>
            </w:r>
          </w:p>
        </w:tc>
      </w:tr>
      <w:tr w:rsidR="00DA4C8B"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DA4C8B">
            <w:pPr>
              <w:widowControl w:val="0"/>
              <w:pBdr>
                <w:top w:val="nil"/>
                <w:left w:val="nil"/>
                <w:bottom w:val="nil"/>
                <w:right w:val="nil"/>
                <w:between w:val="nil"/>
              </w:pBdr>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Lead knowledge transfer session of how some of SS&amp;P’s state capacity offerings can contribute to each of the three programme verticals’ outcomes</w:t>
            </w:r>
          </w:p>
        </w:tc>
      </w:tr>
      <w:tr w:rsidR="00DA4C8B" w:rsidTr="002A6BEC">
        <w:trPr>
          <w:trHeight w:val="315"/>
        </w:trPr>
        <w:tc>
          <w:tcPr>
            <w:tcW w:w="10080" w:type="dxa"/>
            <w:gridSpan w:val="2"/>
            <w:tcBorders>
              <w:top w:val="single" w:sz="8" w:space="0" w:color="CCCCCC"/>
              <w:left w:val="single" w:sz="8" w:space="0" w:color="CCCCCC"/>
              <w:bottom w:val="single" w:sz="8" w:space="0" w:color="CCCCCC"/>
              <w:right w:val="single" w:sz="8" w:space="0" w:color="CCCCCC"/>
            </w:tcBorders>
            <w:shd w:val="clear" w:color="auto" w:fill="EFEFE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b/>
              </w:rPr>
              <w:t xml:space="preserve">Stage 2: Convergence building between SS&amp;P and program teams: </w:t>
            </w:r>
            <w:r>
              <w:rPr>
                <w:rFonts w:ascii="Cambria" w:eastAsia="Cambria" w:hAnsi="Cambria" w:cs="Cambria"/>
              </w:rPr>
              <w:t>Sattva will participate in a prioritization and convergence building process between SS&amp;P and the program teams</w:t>
            </w:r>
          </w:p>
        </w:tc>
      </w:tr>
      <w:tr w:rsidR="00DA4C8B" w:rsidTr="002A6BEC">
        <w:trPr>
          <w:cantSplit/>
          <w:trHeight w:val="315"/>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b/>
              </w:rPr>
              <w:t>Prioritization of potential pilots for convergence between SS&amp;P and the 3 program verticals</w:t>
            </w:r>
          </w:p>
          <w:p w:rsidR="00DA4C8B" w:rsidRDefault="00DA4C8B">
            <w:pPr>
              <w:widowControl w:val="0"/>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Align criteria for prioritization of pain points with program team and SS&amp;P through 1 working session each</w:t>
            </w:r>
          </w:p>
        </w:tc>
      </w:tr>
      <w:tr w:rsidR="00DA4C8B"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Default="00DA4C8B">
            <w:pPr>
              <w:widowControl w:val="0"/>
              <w:pBdr>
                <w:top w:val="nil"/>
                <w:left w:val="nil"/>
                <w:bottom w:val="nil"/>
                <w:right w:val="nil"/>
                <w:between w:val="nil"/>
              </w:pBdr>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 xml:space="preserve">Participate in convergence building meetings between SS&amp;P and vertical teams </w:t>
            </w:r>
          </w:p>
        </w:tc>
      </w:tr>
      <w:tr w:rsidR="00DA4C8B"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Default="00DA4C8B">
            <w:pPr>
              <w:widowControl w:val="0"/>
              <w:pBdr>
                <w:top w:val="nil"/>
                <w:left w:val="nil"/>
                <w:bottom w:val="nil"/>
                <w:right w:val="nil"/>
                <w:between w:val="nil"/>
              </w:pBdr>
              <w:spacing w:line="276" w:lineRule="auto"/>
              <w:ind w:left="0" w:hanging="2"/>
              <w:rPr>
                <w:rFonts w:ascii="Cambria" w:eastAsia="Cambria" w:hAnsi="Cambria" w:cs="Cambria"/>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Default="00B876F3">
            <w:pPr>
              <w:widowControl w:val="0"/>
              <w:spacing w:line="276" w:lineRule="auto"/>
              <w:ind w:left="0" w:hanging="2"/>
              <w:rPr>
                <w:rFonts w:ascii="Cambria" w:eastAsia="Cambria" w:hAnsi="Cambria" w:cs="Cambria"/>
              </w:rPr>
            </w:pPr>
            <w:r>
              <w:rPr>
                <w:rFonts w:ascii="Cambria" w:eastAsia="Cambria" w:hAnsi="Cambria" w:cs="Cambria"/>
              </w:rPr>
              <w:t xml:space="preserve">Consolidate pathways for convergent investments into different engagement models between program verticals and SS&amp;P </w:t>
            </w:r>
          </w:p>
        </w:tc>
      </w:tr>
    </w:tbl>
    <w:p w:rsidR="00DA4C8B" w:rsidRDefault="00DA4C8B">
      <w:pPr>
        <w:pStyle w:val="Heading1"/>
        <w:spacing w:after="199"/>
        <w:ind w:left="1" w:hanging="3"/>
        <w:jc w:val="both"/>
        <w:rPr>
          <w:rFonts w:ascii="Cambria" w:eastAsia="Cambria" w:hAnsi="Cambria" w:cs="Cambria"/>
        </w:rPr>
      </w:pPr>
      <w:bookmarkStart w:id="2" w:name="_heading=h.whif4j6cs9c7" w:colFirst="0" w:colLast="0"/>
      <w:bookmarkEnd w:id="2"/>
    </w:p>
    <w:p w:rsidR="00DA4C8B" w:rsidRDefault="00B876F3">
      <w:pPr>
        <w:pStyle w:val="Heading1"/>
        <w:spacing w:after="0"/>
        <w:ind w:left="0" w:hanging="2"/>
        <w:jc w:val="both"/>
        <w:rPr>
          <w:rFonts w:ascii="Cambria" w:eastAsia="Cambria" w:hAnsi="Cambria" w:cs="Cambria"/>
          <w:sz w:val="22"/>
          <w:szCs w:val="22"/>
        </w:rPr>
      </w:pPr>
      <w:r>
        <w:rPr>
          <w:rFonts w:ascii="Cambria" w:eastAsia="Cambria" w:hAnsi="Cambria" w:cs="Cambria"/>
          <w:sz w:val="22"/>
          <w:szCs w:val="22"/>
        </w:rPr>
        <w:t>RISK AND MITIGATION</w:t>
      </w:r>
    </w:p>
    <w:tbl>
      <w:tblPr>
        <w:tblW w:w="10072" w:type="dxa"/>
        <w:tblCellMar>
          <w:top w:w="15" w:type="dxa"/>
          <w:left w:w="15" w:type="dxa"/>
          <w:bottom w:w="15" w:type="dxa"/>
          <w:right w:w="15" w:type="dxa"/>
        </w:tblCellMar>
        <w:tblLook w:val="04A0"/>
      </w:tblPr>
      <w:tblGrid>
        <w:gridCol w:w="2782"/>
        <w:gridCol w:w="4680"/>
        <w:gridCol w:w="1260"/>
        <w:gridCol w:w="1350"/>
      </w:tblGrid>
      <w:tr w:rsidR="002A6BEC" w:rsidRPr="002A6BEC" w:rsidTr="002A6BEC">
        <w:trPr>
          <w:trHeight w:val="300"/>
        </w:trPr>
        <w:tc>
          <w:tcPr>
            <w:tcW w:w="2782"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hanging="2"/>
              <w:jc w:val="center"/>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color w:val="FFFFFF"/>
                <w:position w:val="0"/>
                <w:lang w:eastAsia="en-US"/>
              </w:rPr>
              <w:t>Risks</w:t>
            </w:r>
          </w:p>
        </w:tc>
        <w:tc>
          <w:tcPr>
            <w:tcW w:w="468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color w:val="FFFFFF"/>
                <w:position w:val="0"/>
                <w:lang w:eastAsia="en-US"/>
              </w:rPr>
              <w:t>Suggested mitigation strategies</w:t>
            </w:r>
          </w:p>
        </w:tc>
        <w:tc>
          <w:tcPr>
            <w:tcW w:w="126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color w:val="FFFFFF"/>
                <w:position w:val="0"/>
                <w:lang w:eastAsia="en-US"/>
              </w:rPr>
              <w:t>Probability</w:t>
            </w:r>
          </w:p>
        </w:tc>
        <w:tc>
          <w:tcPr>
            <w:tcW w:w="135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color w:val="FFFFFF"/>
                <w:position w:val="0"/>
                <w:lang w:eastAsia="en-US"/>
              </w:rPr>
              <w:t>Impact</w:t>
            </w:r>
          </w:p>
        </w:tc>
      </w:tr>
      <w:tr w:rsidR="002A6BEC" w:rsidRPr="002A6BEC" w:rsidTr="002A6BEC">
        <w:trPr>
          <w:trHeight w:val="855"/>
        </w:trPr>
        <w:tc>
          <w:tcPr>
            <w:tcW w:w="2782" w:type="dxa"/>
            <w:tcBorders>
              <w:top w:val="single" w:sz="6" w:space="0" w:color="999999"/>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color w:val="000000"/>
                <w:position w:val="0"/>
                <w:lang w:eastAsia="en-US"/>
              </w:rPr>
              <w:t>Understanding of pain-points may not be current or up to date due to do limitations of data from secondary sources</w:t>
            </w:r>
          </w:p>
        </w:tc>
        <w:tc>
          <w:tcPr>
            <w:tcW w:w="4680" w:type="dxa"/>
            <w:tcBorders>
              <w:top w:val="single" w:sz="6" w:space="0" w:color="999999"/>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2A6BEC" w:rsidRDefault="002A6BEC" w:rsidP="002A6BEC">
            <w:pPr>
              <w:numPr>
                <w:ilvl w:val="0"/>
                <w:numId w:val="13"/>
              </w:numPr>
              <w:suppressAutoHyphens w:val="0"/>
              <w:spacing w:line="240" w:lineRule="auto"/>
              <w:ind w:leftChars="0" w:left="450" w:firstLineChars="0"/>
              <w:textDirection w:val="lrTb"/>
              <w:textAlignment w:val="baseline"/>
              <w:outlineLvl w:val="9"/>
              <w:rPr>
                <w:rFonts w:ascii="Cambria" w:eastAsia="Times New Roman" w:hAnsi="Cambria" w:cs="Times New Roman"/>
                <w:color w:val="000000"/>
                <w:position w:val="0"/>
                <w:sz w:val="16"/>
                <w:szCs w:val="16"/>
                <w:lang w:eastAsia="en-US"/>
              </w:rPr>
            </w:pPr>
            <w:r w:rsidRPr="002A6BEC">
              <w:rPr>
                <w:rFonts w:ascii="Cambria" w:eastAsia="Times New Roman" w:hAnsi="Cambria" w:cs="Times New Roman"/>
                <w:color w:val="000000"/>
                <w:position w:val="0"/>
                <w:lang w:eastAsia="en-US"/>
              </w:rPr>
              <w:t>Latest annual reports of the program area released by Central Government bodies will be referred to for up-to-date insights</w:t>
            </w:r>
          </w:p>
          <w:p w:rsidR="002A6BEC" w:rsidRPr="002A6BEC" w:rsidRDefault="002A6BEC" w:rsidP="002A6BEC">
            <w:pPr>
              <w:numPr>
                <w:ilvl w:val="0"/>
                <w:numId w:val="13"/>
              </w:numPr>
              <w:suppressAutoHyphens w:val="0"/>
              <w:spacing w:line="240" w:lineRule="auto"/>
              <w:ind w:leftChars="0" w:left="450" w:firstLineChars="0"/>
              <w:textDirection w:val="lrTb"/>
              <w:textAlignment w:val="baseline"/>
              <w:outlineLvl w:val="9"/>
              <w:rPr>
                <w:rFonts w:ascii="Cambria" w:eastAsia="Times New Roman" w:hAnsi="Cambria" w:cs="Times New Roman"/>
                <w:color w:val="000000"/>
                <w:position w:val="0"/>
                <w:sz w:val="16"/>
                <w:szCs w:val="16"/>
                <w:lang w:eastAsia="en-US"/>
              </w:rPr>
            </w:pPr>
            <w:r w:rsidRPr="002A6BEC">
              <w:rPr>
                <w:rFonts w:ascii="Cambria" w:eastAsia="Times New Roman" w:hAnsi="Cambria" w:cs="Times New Roman"/>
                <w:color w:val="000000"/>
                <w:position w:val="0"/>
                <w:lang w:eastAsia="en-US"/>
              </w:rPr>
              <w:t>Convergence areas will primarily be anchored on the broader/systemic pain points of the sector </w:t>
            </w:r>
          </w:p>
        </w:tc>
        <w:tc>
          <w:tcPr>
            <w:tcW w:w="1260" w:type="dxa"/>
            <w:tcBorders>
              <w:top w:val="single" w:sz="6" w:space="0" w:color="999999"/>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270" w:firstLineChars="0" w:firstLine="0"/>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b/>
                <w:bCs/>
                <w:color w:val="990000"/>
                <w:position w:val="0"/>
                <w:lang w:eastAsia="en-US"/>
              </w:rPr>
              <w:t>High</w:t>
            </w:r>
          </w:p>
        </w:tc>
        <w:tc>
          <w:tcPr>
            <w:tcW w:w="1350" w:type="dxa"/>
            <w:tcBorders>
              <w:top w:val="single" w:sz="6" w:space="0" w:color="999999"/>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b/>
                <w:bCs/>
                <w:color w:val="3C78D8"/>
                <w:position w:val="0"/>
                <w:lang w:eastAsia="en-US"/>
              </w:rPr>
              <w:t>Medium</w:t>
            </w:r>
          </w:p>
        </w:tc>
      </w:tr>
      <w:tr w:rsidR="002A6BEC" w:rsidRPr="002A6BEC" w:rsidTr="002A6BEC">
        <w:trPr>
          <w:trHeight w:val="855"/>
        </w:trPr>
        <w:tc>
          <w:tcPr>
            <w:tcW w:w="2782"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color w:val="000000"/>
                <w:position w:val="0"/>
                <w:lang w:eastAsia="en-US"/>
              </w:rPr>
              <w:t>Sattva’s understanding of SS&amp;P’s investment outcomes and progress will be limited</w:t>
            </w:r>
          </w:p>
        </w:tc>
        <w:tc>
          <w:tcPr>
            <w:tcW w:w="4680"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2A6BEC" w:rsidRDefault="002A6BEC" w:rsidP="002A6BEC">
            <w:pPr>
              <w:numPr>
                <w:ilvl w:val="0"/>
                <w:numId w:val="14"/>
              </w:numPr>
              <w:suppressAutoHyphens w:val="0"/>
              <w:spacing w:line="240" w:lineRule="auto"/>
              <w:ind w:leftChars="0" w:left="90" w:firstLineChars="0"/>
              <w:textDirection w:val="lrTb"/>
              <w:textAlignment w:val="baseline"/>
              <w:outlineLvl w:val="9"/>
              <w:rPr>
                <w:rFonts w:ascii="Cambria" w:eastAsia="Times New Roman" w:hAnsi="Cambria" w:cs="Times New Roman"/>
                <w:color w:val="000000"/>
                <w:position w:val="0"/>
                <w:sz w:val="16"/>
                <w:szCs w:val="16"/>
                <w:lang w:eastAsia="en-US"/>
              </w:rPr>
            </w:pPr>
            <w:r w:rsidRPr="002A6BEC">
              <w:rPr>
                <w:rFonts w:ascii="Cambria" w:eastAsia="Times New Roman" w:hAnsi="Cambria" w:cs="Times New Roman"/>
                <w:color w:val="000000"/>
                <w:position w:val="0"/>
                <w:lang w:eastAsia="en-US"/>
              </w:rPr>
              <w:t>Sattva will conduct secondary research to study scope and impact of investments and grants made by each of the three verticals and identify scope for state capacity </w:t>
            </w:r>
          </w:p>
        </w:tc>
        <w:tc>
          <w:tcPr>
            <w:tcW w:w="1260" w:type="dxa"/>
            <w:tcBorders>
              <w:top w:val="single" w:sz="6" w:space="0" w:color="A5A5A5"/>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270" w:firstLineChars="0" w:firstLine="0"/>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b/>
                <w:bCs/>
                <w:color w:val="990000"/>
                <w:position w:val="0"/>
                <w:lang w:eastAsia="en-US"/>
              </w:rPr>
              <w:t>High</w:t>
            </w:r>
          </w:p>
        </w:tc>
        <w:tc>
          <w:tcPr>
            <w:tcW w:w="1350" w:type="dxa"/>
            <w:tcBorders>
              <w:top w:val="single" w:sz="6" w:space="0" w:color="A5A5A5"/>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b/>
                <w:bCs/>
                <w:color w:val="3C78D8"/>
                <w:position w:val="0"/>
                <w:lang w:eastAsia="en-US"/>
              </w:rPr>
              <w:t>Medium</w:t>
            </w:r>
          </w:p>
        </w:tc>
      </w:tr>
      <w:tr w:rsidR="002A6BEC" w:rsidRPr="002A6BEC" w:rsidTr="002A6BEC">
        <w:trPr>
          <w:trHeight w:val="1140"/>
        </w:trPr>
        <w:tc>
          <w:tcPr>
            <w:tcW w:w="2782"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2A6BEC" w:rsidRDefault="002A6BEC" w:rsidP="002A6BEC">
            <w:pPr>
              <w:numPr>
                <w:ilvl w:val="0"/>
                <w:numId w:val="15"/>
              </w:numPr>
              <w:suppressAutoHyphens w:val="0"/>
              <w:spacing w:line="240" w:lineRule="auto"/>
              <w:ind w:leftChars="0" w:left="0" w:firstLineChars="0"/>
              <w:textDirection w:val="lrTb"/>
              <w:textAlignment w:val="baseline"/>
              <w:outlineLvl w:val="9"/>
              <w:rPr>
                <w:rFonts w:ascii="Cambria" w:eastAsia="Times New Roman" w:hAnsi="Cambria" w:cs="Times New Roman"/>
                <w:color w:val="000000"/>
                <w:position w:val="0"/>
                <w:sz w:val="14"/>
                <w:szCs w:val="14"/>
                <w:lang w:eastAsia="en-US"/>
              </w:rPr>
            </w:pPr>
            <w:r w:rsidRPr="002A6BEC">
              <w:rPr>
                <w:rFonts w:ascii="Cambria" w:eastAsia="Times New Roman" w:hAnsi="Cambria" w:cs="Times New Roman"/>
                <w:color w:val="000000"/>
                <w:position w:val="0"/>
                <w:lang w:eastAsia="en-US"/>
              </w:rPr>
              <w:t>SS&amp;P team’s internal staffing limitations might make regular governance and working sessions difficult</w:t>
            </w:r>
          </w:p>
        </w:tc>
        <w:tc>
          <w:tcPr>
            <w:tcW w:w="4680"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2A6BEC" w:rsidRDefault="002A6BEC" w:rsidP="002A6BEC">
            <w:pPr>
              <w:numPr>
                <w:ilvl w:val="0"/>
                <w:numId w:val="16"/>
              </w:numPr>
              <w:suppressAutoHyphens w:val="0"/>
              <w:spacing w:line="240" w:lineRule="auto"/>
              <w:ind w:leftChars="0" w:left="90" w:firstLineChars="0"/>
              <w:textDirection w:val="lrTb"/>
              <w:textAlignment w:val="baseline"/>
              <w:outlineLvl w:val="9"/>
              <w:rPr>
                <w:rFonts w:ascii="Cambria" w:eastAsia="Times New Roman" w:hAnsi="Cambria" w:cs="Times New Roman"/>
                <w:color w:val="000000"/>
                <w:position w:val="0"/>
                <w:sz w:val="14"/>
                <w:szCs w:val="14"/>
                <w:lang w:eastAsia="en-US"/>
              </w:rPr>
            </w:pPr>
            <w:r w:rsidRPr="002A6BEC">
              <w:rPr>
                <w:rFonts w:ascii="Cambria" w:eastAsia="Times New Roman" w:hAnsi="Cambria" w:cs="Times New Roman"/>
                <w:color w:val="000000"/>
                <w:position w:val="0"/>
                <w:lang w:eastAsia="en-US"/>
              </w:rPr>
              <w:t>Time required to be spent by SS&amp;P will be optimized through:</w:t>
            </w:r>
          </w:p>
          <w:p w:rsidR="002A6BEC" w:rsidRPr="002A6BEC" w:rsidRDefault="002A6BEC" w:rsidP="002A6BEC">
            <w:pPr>
              <w:numPr>
                <w:ilvl w:val="0"/>
                <w:numId w:val="16"/>
              </w:numPr>
              <w:suppressAutoHyphens w:val="0"/>
              <w:spacing w:line="240" w:lineRule="auto"/>
              <w:ind w:leftChars="0" w:left="450" w:firstLineChars="0"/>
              <w:textDirection w:val="lrTb"/>
              <w:textAlignment w:val="baseline"/>
              <w:outlineLvl w:val="9"/>
              <w:rPr>
                <w:rFonts w:ascii="Cambria" w:eastAsia="Times New Roman" w:hAnsi="Cambria" w:cs="Times New Roman"/>
                <w:color w:val="000000"/>
                <w:position w:val="0"/>
                <w:sz w:val="16"/>
                <w:szCs w:val="16"/>
                <w:lang w:eastAsia="en-US"/>
              </w:rPr>
            </w:pPr>
            <w:r w:rsidRPr="002A6BEC">
              <w:rPr>
                <w:rFonts w:ascii="Cambria" w:eastAsia="Times New Roman" w:hAnsi="Cambria" w:cs="Times New Roman"/>
                <w:color w:val="000000"/>
                <w:position w:val="0"/>
                <w:lang w:eastAsia="en-US"/>
              </w:rPr>
              <w:t>Pre-read decks will be shared with SS&amp;P with visualized summary of complex pain points and state capacity innovations</w:t>
            </w:r>
          </w:p>
          <w:p w:rsidR="002A6BEC" w:rsidRPr="002A6BEC" w:rsidRDefault="002A6BEC" w:rsidP="002A6BEC">
            <w:pPr>
              <w:numPr>
                <w:ilvl w:val="0"/>
                <w:numId w:val="16"/>
              </w:numPr>
              <w:suppressAutoHyphens w:val="0"/>
              <w:spacing w:line="240" w:lineRule="auto"/>
              <w:ind w:leftChars="0" w:left="450" w:firstLineChars="0"/>
              <w:textDirection w:val="lrTb"/>
              <w:textAlignment w:val="baseline"/>
              <w:outlineLvl w:val="9"/>
              <w:rPr>
                <w:rFonts w:ascii="Cambria" w:eastAsia="Times New Roman" w:hAnsi="Cambria" w:cs="Times New Roman"/>
                <w:color w:val="000000"/>
                <w:position w:val="0"/>
                <w:sz w:val="16"/>
                <w:szCs w:val="16"/>
                <w:lang w:eastAsia="en-US"/>
              </w:rPr>
            </w:pPr>
            <w:r w:rsidRPr="002A6BEC">
              <w:rPr>
                <w:rFonts w:ascii="Cambria" w:eastAsia="Times New Roman" w:hAnsi="Cambria" w:cs="Times New Roman"/>
                <w:color w:val="000000"/>
                <w:position w:val="0"/>
                <w:lang w:eastAsia="en-US"/>
              </w:rPr>
              <w:t>Post-reads and alignment questions after each knowledge transfer session will be discussed offline on follow up excel sheets </w:t>
            </w:r>
          </w:p>
        </w:tc>
        <w:tc>
          <w:tcPr>
            <w:tcW w:w="1260" w:type="dxa"/>
            <w:tcBorders>
              <w:top w:val="single" w:sz="6" w:space="0" w:color="A5A5A5"/>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270" w:firstLineChars="0" w:firstLine="0"/>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b/>
                <w:bCs/>
                <w:color w:val="990000"/>
                <w:position w:val="0"/>
                <w:lang w:eastAsia="en-US"/>
              </w:rPr>
              <w:t>High</w:t>
            </w:r>
          </w:p>
        </w:tc>
        <w:tc>
          <w:tcPr>
            <w:tcW w:w="1350" w:type="dxa"/>
            <w:tcBorders>
              <w:top w:val="single" w:sz="6" w:space="0" w:color="A5A5A5"/>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2A6BEC" w:rsidRDefault="002A6BEC" w:rsidP="002A6BEC">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eastAsia="en-US"/>
              </w:rPr>
            </w:pPr>
            <w:r w:rsidRPr="002A6BEC">
              <w:rPr>
                <w:rFonts w:ascii="Cambria" w:eastAsia="Times New Roman" w:hAnsi="Cambria" w:cs="Times New Roman"/>
                <w:b/>
                <w:bCs/>
                <w:color w:val="3C78D8"/>
                <w:position w:val="0"/>
                <w:lang w:eastAsia="en-US"/>
              </w:rPr>
              <w:t>Medium</w:t>
            </w:r>
          </w:p>
        </w:tc>
      </w:tr>
    </w:tbl>
    <w:p w:rsidR="002A6BEC" w:rsidRPr="002A6BEC" w:rsidRDefault="002A6BEC" w:rsidP="002A6BEC">
      <w:pPr>
        <w:suppressAutoHyphens w:val="0"/>
        <w:spacing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eastAsia="en-US"/>
        </w:rPr>
      </w:pPr>
    </w:p>
    <w:p w:rsidR="00DA4C8B" w:rsidRDefault="00DA4C8B">
      <w:pPr>
        <w:pStyle w:val="Heading1"/>
        <w:spacing w:before="200" w:after="200"/>
        <w:ind w:left="0" w:hanging="2"/>
        <w:jc w:val="both"/>
        <w:rPr>
          <w:rFonts w:ascii="Cambria" w:eastAsia="Cambria" w:hAnsi="Cambria" w:cs="Cambria"/>
          <w:sz w:val="22"/>
          <w:szCs w:val="22"/>
        </w:rPr>
      </w:pPr>
    </w:p>
    <w:p w:rsidR="00DA4C8B" w:rsidRDefault="00B876F3">
      <w:pPr>
        <w:pStyle w:val="Heading1"/>
        <w:spacing w:before="200" w:after="200"/>
        <w:ind w:left="0" w:hanging="2"/>
        <w:jc w:val="both"/>
        <w:rPr>
          <w:rFonts w:ascii="Cambria" w:eastAsia="Cambria" w:hAnsi="Cambria" w:cs="Cambria"/>
          <w:sz w:val="22"/>
          <w:szCs w:val="22"/>
        </w:rPr>
      </w:pPr>
      <w:r>
        <w:rPr>
          <w:rFonts w:ascii="Cambria" w:eastAsia="Cambria" w:hAnsi="Cambria" w:cs="Cambria"/>
          <w:sz w:val="22"/>
          <w:szCs w:val="22"/>
        </w:rPr>
        <w:t xml:space="preserve">PROJECT GOVERNANCE AND MANAGEMENT </w:t>
      </w:r>
    </w:p>
    <w:p w:rsidR="00DA4C8B" w:rsidRDefault="00B876F3">
      <w:pPr>
        <w:widowControl w:val="0"/>
        <w:ind w:left="0" w:hanging="2"/>
        <w:rPr>
          <w:rFonts w:ascii="Cambria" w:eastAsia="Cambria" w:hAnsi="Cambria" w:cs="Cambria"/>
        </w:rPr>
      </w:pPr>
      <w:r>
        <w:rPr>
          <w:rFonts w:ascii="Cambria" w:eastAsia="Cambria" w:hAnsi="Cambria" w:cs="Cambria"/>
        </w:rPr>
        <w:t>In order to ensure high quality of support and timely deliverables, Sattva proposes an agile and collaborative governance routine.</w:t>
      </w:r>
    </w:p>
    <w:p w:rsidR="00DA4C8B" w:rsidRDefault="00DA4C8B">
      <w:pPr>
        <w:widowControl w:val="0"/>
        <w:ind w:left="0" w:hanging="2"/>
        <w:rPr>
          <w:rFonts w:ascii="Cambria" w:eastAsia="Cambria" w:hAnsi="Cambria" w:cs="Cambria"/>
        </w:rPr>
      </w:pPr>
    </w:p>
    <w:tbl>
      <w:tblPr>
        <w:tblStyle w:val="af"/>
        <w:tblW w:w="10080" w:type="dxa"/>
        <w:tblInd w:w="-10"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000"/>
      </w:tblPr>
      <w:tblGrid>
        <w:gridCol w:w="2192"/>
        <w:gridCol w:w="2775"/>
        <w:gridCol w:w="2265"/>
        <w:gridCol w:w="1498"/>
        <w:gridCol w:w="1350"/>
      </w:tblGrid>
      <w:tr w:rsidR="00DA4C8B" w:rsidTr="002A6BEC">
        <w:trPr>
          <w:trHeight w:val="432"/>
        </w:trPr>
        <w:tc>
          <w:tcPr>
            <w:tcW w:w="2192"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Default="00B876F3">
            <w:pPr>
              <w:widowControl w:val="0"/>
              <w:ind w:left="0" w:hanging="2"/>
              <w:jc w:val="center"/>
              <w:rPr>
                <w:rFonts w:ascii="Cambria" w:eastAsia="Cambria" w:hAnsi="Cambria" w:cs="Cambria"/>
                <w:color w:val="FFFFFF"/>
              </w:rPr>
            </w:pPr>
            <w:r>
              <w:rPr>
                <w:rFonts w:ascii="Cambria" w:eastAsia="Cambria" w:hAnsi="Cambria" w:cs="Cambria"/>
                <w:b/>
                <w:color w:val="FFFFFF"/>
              </w:rPr>
              <w:t>Type of meeting</w:t>
            </w:r>
          </w:p>
        </w:tc>
        <w:tc>
          <w:tcPr>
            <w:tcW w:w="277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Default="00B876F3">
            <w:pPr>
              <w:widowControl w:val="0"/>
              <w:ind w:left="0" w:hanging="2"/>
              <w:jc w:val="center"/>
              <w:rPr>
                <w:rFonts w:ascii="Cambria" w:eastAsia="Cambria" w:hAnsi="Cambria" w:cs="Cambria"/>
                <w:color w:val="FFFFFF"/>
              </w:rPr>
            </w:pPr>
            <w:r>
              <w:rPr>
                <w:rFonts w:ascii="Cambria" w:eastAsia="Cambria" w:hAnsi="Cambria" w:cs="Cambria"/>
                <w:b/>
                <w:color w:val="FFFFFF"/>
              </w:rPr>
              <w:t>Purpose</w:t>
            </w:r>
          </w:p>
        </w:tc>
        <w:tc>
          <w:tcPr>
            <w:tcW w:w="226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Default="00B876F3">
            <w:pPr>
              <w:widowControl w:val="0"/>
              <w:ind w:left="0" w:hanging="2"/>
              <w:jc w:val="center"/>
              <w:rPr>
                <w:rFonts w:ascii="Cambria" w:eastAsia="Cambria" w:hAnsi="Cambria" w:cs="Cambria"/>
                <w:color w:val="FFFFFF"/>
              </w:rPr>
            </w:pPr>
            <w:r>
              <w:rPr>
                <w:rFonts w:ascii="Cambria" w:eastAsia="Cambria" w:hAnsi="Cambria" w:cs="Cambria"/>
                <w:b/>
                <w:color w:val="FFFFFF"/>
              </w:rPr>
              <w:t xml:space="preserve">Participants </w:t>
            </w:r>
          </w:p>
        </w:tc>
        <w:tc>
          <w:tcPr>
            <w:tcW w:w="1498"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Default="00B876F3">
            <w:pPr>
              <w:widowControl w:val="0"/>
              <w:ind w:left="0" w:hanging="2"/>
              <w:jc w:val="center"/>
              <w:rPr>
                <w:rFonts w:ascii="Cambria" w:eastAsia="Cambria" w:hAnsi="Cambria" w:cs="Cambria"/>
                <w:color w:val="FFFFFF"/>
              </w:rPr>
            </w:pPr>
            <w:r>
              <w:rPr>
                <w:rFonts w:ascii="Cambria" w:eastAsia="Cambria" w:hAnsi="Cambria" w:cs="Cambria"/>
                <w:b/>
                <w:color w:val="FFFFFF"/>
              </w:rPr>
              <w:t>Duration and frequency</w:t>
            </w:r>
          </w:p>
        </w:tc>
        <w:tc>
          <w:tcPr>
            <w:tcW w:w="135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Default="00B876F3">
            <w:pPr>
              <w:widowControl w:val="0"/>
              <w:ind w:left="0" w:hanging="2"/>
              <w:jc w:val="center"/>
              <w:rPr>
                <w:rFonts w:ascii="Cambria" w:eastAsia="Cambria" w:hAnsi="Cambria" w:cs="Cambria"/>
                <w:color w:val="FFFFFF"/>
              </w:rPr>
            </w:pPr>
            <w:r>
              <w:rPr>
                <w:rFonts w:ascii="Cambria" w:eastAsia="Cambria" w:hAnsi="Cambria" w:cs="Cambria"/>
                <w:b/>
                <w:color w:val="FFFFFF"/>
              </w:rPr>
              <w:t>Criticality for project success</w:t>
            </w:r>
          </w:p>
        </w:tc>
      </w:tr>
      <w:tr w:rsidR="00DA4C8B"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b/>
              </w:rPr>
              <w:t>Knowledge sharing session on pain points in state capacity</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rPr>
              <w:t>Sattva to conduct sessions on insights pain points from secondary research</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rsidP="002A6BEC">
            <w:pPr>
              <w:widowControl w:val="0"/>
              <w:numPr>
                <w:ilvl w:val="0"/>
                <w:numId w:val="12"/>
              </w:numPr>
              <w:ind w:leftChars="0" w:left="246" w:firstLineChars="0" w:hanging="248"/>
              <w:rPr>
                <w:rFonts w:ascii="Cambria" w:eastAsia="Cambria" w:hAnsi="Cambria" w:cs="Cambria"/>
              </w:rPr>
            </w:pPr>
            <w:r>
              <w:rPr>
                <w:rFonts w:ascii="Cambria" w:eastAsia="Cambria" w:hAnsi="Cambria" w:cs="Cambria"/>
              </w:rPr>
              <w:t xml:space="preserve">Key stakeholders from SS&amp;P </w:t>
            </w:r>
          </w:p>
          <w:p w:rsidR="00DA4C8B" w:rsidRDefault="00B876F3" w:rsidP="002A6BEC">
            <w:pPr>
              <w:widowControl w:val="0"/>
              <w:numPr>
                <w:ilvl w:val="0"/>
                <w:numId w:val="12"/>
              </w:numPr>
              <w:ind w:leftChars="0" w:left="246" w:firstLineChars="0" w:hanging="248"/>
              <w:rPr>
                <w:rFonts w:ascii="Cambria" w:eastAsia="Cambria" w:hAnsi="Cambria" w:cs="Cambria"/>
              </w:rPr>
            </w:pPr>
            <w:r>
              <w:rPr>
                <w:rFonts w:ascii="Cambria" w:eastAsia="Cambria" w:hAnsi="Cambria" w:cs="Cambria"/>
              </w:rPr>
              <w:t xml:space="preserve">Sattva team </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b/>
              </w:rPr>
              <w:t>1 hour every fortnight</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Default="00B876F3">
            <w:pPr>
              <w:widowControl w:val="0"/>
              <w:ind w:left="0" w:hanging="2"/>
              <w:rPr>
                <w:rFonts w:ascii="Cambria" w:eastAsia="Cambria" w:hAnsi="Cambria" w:cs="Cambria"/>
                <w:color w:val="990000"/>
              </w:rPr>
            </w:pPr>
            <w:r>
              <w:rPr>
                <w:rFonts w:ascii="Cambria" w:eastAsia="Cambria" w:hAnsi="Cambria" w:cs="Cambria"/>
                <w:b/>
                <w:color w:val="990000"/>
              </w:rPr>
              <w:t>High</w:t>
            </w:r>
          </w:p>
        </w:tc>
      </w:tr>
      <w:tr w:rsidR="00DA4C8B"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b/>
              </w:rPr>
              <w:t>Knowledge sharing session on solution ecosystem for transversal state cap issues</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rsidP="002A6BEC">
            <w:pPr>
              <w:widowControl w:val="0"/>
              <w:numPr>
                <w:ilvl w:val="0"/>
                <w:numId w:val="7"/>
              </w:numPr>
              <w:ind w:leftChars="0" w:left="223" w:firstLineChars="0" w:hanging="225"/>
              <w:rPr>
                <w:rFonts w:ascii="Cambria" w:eastAsia="Cambria" w:hAnsi="Cambria" w:cs="Cambria"/>
              </w:rPr>
            </w:pPr>
            <w:r>
              <w:rPr>
                <w:rFonts w:ascii="Cambria" w:eastAsia="Cambria" w:hAnsi="Cambria" w:cs="Cambria"/>
              </w:rPr>
              <w:t>Present research on potential solutions</w:t>
            </w:r>
          </w:p>
          <w:p w:rsidR="00DA4C8B" w:rsidRDefault="00B876F3" w:rsidP="002A6BEC">
            <w:pPr>
              <w:widowControl w:val="0"/>
              <w:numPr>
                <w:ilvl w:val="0"/>
                <w:numId w:val="7"/>
              </w:numPr>
              <w:ind w:leftChars="0" w:left="223" w:firstLineChars="0" w:hanging="225"/>
              <w:rPr>
                <w:rFonts w:ascii="Cambria" w:eastAsia="Cambria" w:hAnsi="Cambria" w:cs="Cambria"/>
              </w:rPr>
            </w:pPr>
            <w:r>
              <w:rPr>
                <w:rFonts w:ascii="Cambria" w:eastAsia="Cambria" w:hAnsi="Cambria" w:cs="Cambria"/>
              </w:rPr>
              <w:t>Get feedback on proposed solutions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2A6BEC" w:rsidRDefault="00B876F3" w:rsidP="002A6BEC">
            <w:pPr>
              <w:widowControl w:val="0"/>
              <w:numPr>
                <w:ilvl w:val="0"/>
                <w:numId w:val="6"/>
              </w:numPr>
              <w:ind w:leftChars="-2" w:left="242" w:firstLineChars="0" w:hanging="246"/>
              <w:rPr>
                <w:rFonts w:ascii="Cambria" w:eastAsia="Cambria" w:hAnsi="Cambria" w:cs="Cambria"/>
              </w:rPr>
            </w:pPr>
            <w:r>
              <w:rPr>
                <w:rFonts w:ascii="Cambria" w:eastAsia="Cambria" w:hAnsi="Cambria" w:cs="Cambria"/>
              </w:rPr>
              <w:t xml:space="preserve">Key stakeholders from SS&amp;P </w:t>
            </w:r>
          </w:p>
          <w:p w:rsidR="00DA4C8B" w:rsidRPr="002A6BEC" w:rsidRDefault="00B876F3" w:rsidP="002A6BEC">
            <w:pPr>
              <w:widowControl w:val="0"/>
              <w:numPr>
                <w:ilvl w:val="0"/>
                <w:numId w:val="6"/>
              </w:numPr>
              <w:ind w:leftChars="-2" w:left="242" w:firstLineChars="0" w:hanging="246"/>
              <w:rPr>
                <w:rFonts w:ascii="Cambria" w:eastAsia="Cambria" w:hAnsi="Cambria" w:cs="Cambria"/>
              </w:rPr>
            </w:pPr>
            <w:r w:rsidRPr="002A6BEC">
              <w:rPr>
                <w:rFonts w:ascii="Cambria" w:eastAsia="Cambria" w:hAnsi="Cambria" w:cs="Cambria"/>
              </w:rPr>
              <w:t>Sattva team</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b/>
              </w:rPr>
              <w:t>1.5 hours as required</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Default="00B876F3">
            <w:pPr>
              <w:widowControl w:val="0"/>
              <w:ind w:left="0" w:hanging="2"/>
              <w:rPr>
                <w:rFonts w:ascii="Cambria" w:eastAsia="Cambria" w:hAnsi="Cambria" w:cs="Cambria"/>
                <w:color w:val="990000"/>
              </w:rPr>
            </w:pPr>
            <w:r>
              <w:rPr>
                <w:rFonts w:ascii="Cambria" w:eastAsia="Cambria" w:hAnsi="Cambria" w:cs="Cambria"/>
                <w:b/>
                <w:color w:val="990000"/>
              </w:rPr>
              <w:t>High</w:t>
            </w:r>
          </w:p>
        </w:tc>
      </w:tr>
      <w:tr w:rsidR="00DA4C8B" w:rsidTr="002A6BEC">
        <w:trPr>
          <w:trHeight w:val="1035"/>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b/>
              </w:rPr>
            </w:pPr>
            <w:r>
              <w:rPr>
                <w:rFonts w:ascii="Cambria" w:eastAsia="Cambria" w:hAnsi="Cambria" w:cs="Cambria"/>
                <w:b/>
              </w:rPr>
              <w:t>Convergence building meetings with verticals</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rsidP="002A6BEC">
            <w:pPr>
              <w:widowControl w:val="0"/>
              <w:numPr>
                <w:ilvl w:val="0"/>
                <w:numId w:val="8"/>
              </w:numPr>
              <w:ind w:leftChars="0" w:left="223" w:firstLineChars="0" w:hanging="225"/>
              <w:rPr>
                <w:rFonts w:ascii="Cambria" w:eastAsia="Cambria" w:hAnsi="Cambria" w:cs="Cambria"/>
              </w:rPr>
            </w:pPr>
            <w:r>
              <w:rPr>
                <w:rFonts w:ascii="Cambria" w:eastAsia="Cambria" w:hAnsi="Cambria" w:cs="Cambria"/>
              </w:rPr>
              <w:t>Capture discussions on potential areas where the program verticals and SS&amp;P team can work together</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rsidP="002A6BEC">
            <w:pPr>
              <w:widowControl w:val="0"/>
              <w:numPr>
                <w:ilvl w:val="0"/>
                <w:numId w:val="1"/>
              </w:numPr>
              <w:ind w:leftChars="0" w:left="246" w:firstLineChars="0" w:hanging="248"/>
              <w:rPr>
                <w:rFonts w:ascii="Cambria" w:eastAsia="Cambria" w:hAnsi="Cambria" w:cs="Cambria"/>
              </w:rPr>
            </w:pPr>
            <w:r>
              <w:rPr>
                <w:rFonts w:ascii="Cambria" w:eastAsia="Cambria" w:hAnsi="Cambria" w:cs="Cambria"/>
              </w:rPr>
              <w:t xml:space="preserve">Key stakeholders from SS&amp;P </w:t>
            </w:r>
          </w:p>
          <w:p w:rsidR="00DA4C8B" w:rsidRDefault="00B876F3" w:rsidP="002A6BEC">
            <w:pPr>
              <w:widowControl w:val="0"/>
              <w:numPr>
                <w:ilvl w:val="0"/>
                <w:numId w:val="1"/>
              </w:numPr>
              <w:ind w:leftChars="0" w:left="246" w:firstLineChars="0" w:hanging="248"/>
              <w:rPr>
                <w:rFonts w:ascii="Cambria" w:eastAsia="Cambria" w:hAnsi="Cambria" w:cs="Cambria"/>
              </w:rPr>
            </w:pPr>
            <w:r>
              <w:rPr>
                <w:rFonts w:ascii="Cambria" w:eastAsia="Cambria" w:hAnsi="Cambria" w:cs="Cambria"/>
              </w:rPr>
              <w:t>Sattva team</w:t>
            </w:r>
          </w:p>
          <w:p w:rsidR="00DA4C8B" w:rsidRDefault="00B876F3" w:rsidP="002A6BEC">
            <w:pPr>
              <w:widowControl w:val="0"/>
              <w:numPr>
                <w:ilvl w:val="0"/>
                <w:numId w:val="1"/>
              </w:numPr>
              <w:ind w:leftChars="0" w:left="246" w:firstLineChars="0" w:hanging="248"/>
              <w:rPr>
                <w:rFonts w:ascii="Cambria" w:eastAsia="Cambria" w:hAnsi="Cambria" w:cs="Cambria"/>
              </w:rPr>
            </w:pPr>
            <w:r>
              <w:rPr>
                <w:rFonts w:ascii="Cambria" w:eastAsia="Cambria" w:hAnsi="Cambria" w:cs="Cambria"/>
              </w:rPr>
              <w:t>SPOCs from program verticals</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b/>
              </w:rPr>
            </w:pPr>
            <w:r>
              <w:rPr>
                <w:rFonts w:ascii="Cambria" w:eastAsia="Cambria" w:hAnsi="Cambria" w:cs="Cambria"/>
                <w:b/>
              </w:rPr>
              <w:t xml:space="preserve">2 meetings with each program vertical </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Default="00B876F3">
            <w:pPr>
              <w:widowControl w:val="0"/>
              <w:ind w:left="0" w:hanging="2"/>
              <w:rPr>
                <w:rFonts w:ascii="Cambria" w:eastAsia="Cambria" w:hAnsi="Cambria" w:cs="Cambria"/>
                <w:color w:val="F4CCCC"/>
              </w:rPr>
            </w:pPr>
            <w:r>
              <w:rPr>
                <w:rFonts w:ascii="Cambria" w:eastAsia="Cambria" w:hAnsi="Cambria" w:cs="Cambria"/>
                <w:b/>
                <w:color w:val="990000"/>
              </w:rPr>
              <w:t>High</w:t>
            </w:r>
          </w:p>
        </w:tc>
      </w:tr>
      <w:tr w:rsidR="00DA4C8B"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b/>
              </w:rPr>
              <w:t>Progress and milestone check in</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rsidP="002A6BEC">
            <w:pPr>
              <w:widowControl w:val="0"/>
              <w:numPr>
                <w:ilvl w:val="0"/>
                <w:numId w:val="7"/>
              </w:numPr>
              <w:ind w:leftChars="0" w:left="223" w:firstLineChars="0" w:hanging="225"/>
              <w:rPr>
                <w:rFonts w:ascii="Cambria" w:eastAsia="Cambria" w:hAnsi="Cambria" w:cs="Cambria"/>
              </w:rPr>
            </w:pPr>
            <w:r>
              <w:rPr>
                <w:rFonts w:ascii="Cambria" w:eastAsia="Cambria" w:hAnsi="Cambria" w:cs="Cambria"/>
              </w:rPr>
              <w:t xml:space="preserve">Update on progress made, insights uncovered </w:t>
            </w:r>
          </w:p>
          <w:p w:rsidR="00DA4C8B" w:rsidRDefault="00B876F3" w:rsidP="002A6BEC">
            <w:pPr>
              <w:widowControl w:val="0"/>
              <w:numPr>
                <w:ilvl w:val="0"/>
                <w:numId w:val="7"/>
              </w:numPr>
              <w:ind w:leftChars="0" w:left="223" w:firstLineChars="0" w:hanging="225"/>
              <w:rPr>
                <w:rFonts w:ascii="Cambria" w:eastAsia="Cambria" w:hAnsi="Cambria" w:cs="Cambria"/>
              </w:rPr>
            </w:pPr>
            <w:r>
              <w:rPr>
                <w:rFonts w:ascii="Cambria" w:eastAsia="Cambria" w:hAnsi="Cambria" w:cs="Cambria"/>
              </w:rPr>
              <w:t xml:space="preserve">Check in on status of deliverables </w:t>
            </w:r>
          </w:p>
          <w:p w:rsidR="00DA4C8B" w:rsidRDefault="00B876F3" w:rsidP="002A6BEC">
            <w:pPr>
              <w:widowControl w:val="0"/>
              <w:numPr>
                <w:ilvl w:val="0"/>
                <w:numId w:val="7"/>
              </w:numPr>
              <w:ind w:leftChars="0" w:left="223" w:firstLineChars="0" w:hanging="225"/>
              <w:rPr>
                <w:rFonts w:ascii="Cambria" w:eastAsia="Cambria" w:hAnsi="Cambria" w:cs="Cambria"/>
              </w:rPr>
            </w:pPr>
            <w:r>
              <w:rPr>
                <w:rFonts w:ascii="Cambria" w:eastAsia="Cambria" w:hAnsi="Cambria" w:cs="Cambria"/>
              </w:rPr>
              <w:t>Align on next steps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rsidP="002A6BEC">
            <w:pPr>
              <w:widowControl w:val="0"/>
              <w:numPr>
                <w:ilvl w:val="0"/>
                <w:numId w:val="6"/>
              </w:numPr>
              <w:ind w:leftChars="0" w:left="246" w:firstLineChars="0" w:hanging="248"/>
              <w:rPr>
                <w:rFonts w:ascii="Cambria" w:eastAsia="Cambria" w:hAnsi="Cambria" w:cs="Cambria"/>
              </w:rPr>
            </w:pPr>
            <w:r>
              <w:rPr>
                <w:rFonts w:ascii="Cambria" w:eastAsia="Cambria" w:hAnsi="Cambria" w:cs="Cambria"/>
              </w:rPr>
              <w:t>BMGF SPOC leading engagement</w:t>
            </w:r>
          </w:p>
          <w:p w:rsidR="00DA4C8B" w:rsidRDefault="00B876F3" w:rsidP="002A6BEC">
            <w:pPr>
              <w:widowControl w:val="0"/>
              <w:numPr>
                <w:ilvl w:val="0"/>
                <w:numId w:val="6"/>
              </w:numPr>
              <w:ind w:leftChars="0" w:left="246" w:firstLineChars="0" w:hanging="248"/>
              <w:rPr>
                <w:rFonts w:ascii="Cambria" w:eastAsia="Cambria" w:hAnsi="Cambria" w:cs="Cambria"/>
              </w:rPr>
            </w:pPr>
            <w:r>
              <w:rPr>
                <w:rFonts w:ascii="Cambria" w:eastAsia="Cambria" w:hAnsi="Cambria" w:cs="Cambria"/>
              </w:rPr>
              <w:t xml:space="preserve">Sattva team </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b/>
              </w:rPr>
              <w:t xml:space="preserve">1 hour every month </w:t>
            </w:r>
          </w:p>
        </w:tc>
        <w:tc>
          <w:tcPr>
            <w:tcW w:w="1350" w:type="dxa"/>
            <w:tcBorders>
              <w:top w:val="single" w:sz="8" w:space="0" w:color="CCCCCC"/>
              <w:left w:val="single" w:sz="8" w:space="0" w:color="CCCCCC"/>
              <w:bottom w:val="single" w:sz="8" w:space="0" w:color="CCCCCC"/>
              <w:right w:val="single" w:sz="8" w:space="0" w:color="CCCCCC"/>
            </w:tcBorders>
            <w:shd w:val="clear" w:color="auto" w:fill="FCE5CD"/>
            <w:tcMar>
              <w:top w:w="100" w:type="dxa"/>
              <w:left w:w="100" w:type="dxa"/>
              <w:bottom w:w="100" w:type="dxa"/>
              <w:right w:w="100" w:type="dxa"/>
            </w:tcMar>
          </w:tcPr>
          <w:p w:rsidR="00DA4C8B" w:rsidRDefault="00B876F3">
            <w:pPr>
              <w:widowControl w:val="0"/>
              <w:ind w:left="0" w:hanging="2"/>
              <w:rPr>
                <w:rFonts w:ascii="Cambria" w:eastAsia="Cambria" w:hAnsi="Cambria" w:cs="Cambria"/>
                <w:color w:val="B45F06"/>
              </w:rPr>
            </w:pPr>
            <w:r>
              <w:rPr>
                <w:rFonts w:ascii="Cambria" w:eastAsia="Cambria" w:hAnsi="Cambria" w:cs="Cambria"/>
                <w:b/>
                <w:color w:val="B45F06"/>
              </w:rPr>
              <w:t>Medium</w:t>
            </w:r>
          </w:p>
        </w:tc>
      </w:tr>
      <w:tr w:rsidR="00DA4C8B"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b/>
              </w:rPr>
              <w:t>Final alignment meeting</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rsidP="002A6BEC">
            <w:pPr>
              <w:widowControl w:val="0"/>
              <w:numPr>
                <w:ilvl w:val="0"/>
                <w:numId w:val="6"/>
              </w:numPr>
              <w:ind w:leftChars="0" w:left="223" w:firstLineChars="0" w:hanging="225"/>
              <w:rPr>
                <w:rFonts w:ascii="Cambria" w:eastAsia="Cambria" w:hAnsi="Cambria" w:cs="Cambria"/>
              </w:rPr>
            </w:pPr>
            <w:r>
              <w:rPr>
                <w:rFonts w:ascii="Cambria" w:eastAsia="Cambria" w:hAnsi="Cambria" w:cs="Cambria"/>
              </w:rPr>
              <w:t xml:space="preserve">Presentation of final deliverables </w:t>
            </w:r>
          </w:p>
          <w:p w:rsidR="00DA4C8B" w:rsidRDefault="00B876F3" w:rsidP="002A6BEC">
            <w:pPr>
              <w:widowControl w:val="0"/>
              <w:numPr>
                <w:ilvl w:val="0"/>
                <w:numId w:val="6"/>
              </w:numPr>
              <w:ind w:leftChars="0" w:left="223" w:firstLineChars="0" w:hanging="225"/>
              <w:rPr>
                <w:rFonts w:ascii="Cambria" w:eastAsia="Cambria" w:hAnsi="Cambria" w:cs="Cambria"/>
              </w:rPr>
            </w:pPr>
            <w:r>
              <w:rPr>
                <w:rFonts w:ascii="Cambria" w:eastAsia="Cambria" w:hAnsi="Cambria" w:cs="Cambria"/>
              </w:rPr>
              <w:t>Alignment on implementation roadmap, and</w:t>
            </w:r>
          </w:p>
          <w:p w:rsidR="00DA4C8B" w:rsidRDefault="00B876F3" w:rsidP="002A6BEC">
            <w:pPr>
              <w:widowControl w:val="0"/>
              <w:numPr>
                <w:ilvl w:val="0"/>
                <w:numId w:val="6"/>
              </w:numPr>
              <w:ind w:leftChars="0" w:left="223" w:firstLineChars="0" w:hanging="225"/>
              <w:rPr>
                <w:rFonts w:ascii="Cambria" w:eastAsia="Cambria" w:hAnsi="Cambria" w:cs="Cambria"/>
              </w:rPr>
            </w:pPr>
            <w:r>
              <w:rPr>
                <w:rFonts w:ascii="Cambria" w:eastAsia="Cambria" w:hAnsi="Cambria" w:cs="Cambria"/>
              </w:rPr>
              <w:t>alignment on next steps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DA4C8B">
            <w:pPr>
              <w:widowControl w:val="0"/>
              <w:ind w:left="0" w:hanging="2"/>
              <w:rPr>
                <w:rFonts w:ascii="Cambria" w:eastAsia="Cambria" w:hAnsi="Cambria" w:cs="Cambria"/>
              </w:rPr>
            </w:pPr>
          </w:p>
          <w:p w:rsidR="00DA4C8B" w:rsidRDefault="00B876F3" w:rsidP="002A6BEC">
            <w:pPr>
              <w:widowControl w:val="0"/>
              <w:numPr>
                <w:ilvl w:val="0"/>
                <w:numId w:val="6"/>
              </w:numPr>
              <w:ind w:leftChars="0" w:left="246" w:firstLineChars="0" w:hanging="248"/>
              <w:rPr>
                <w:rFonts w:ascii="Cambria" w:eastAsia="Cambria" w:hAnsi="Cambria" w:cs="Cambria"/>
              </w:rPr>
            </w:pPr>
            <w:r>
              <w:rPr>
                <w:rFonts w:ascii="Cambria" w:eastAsia="Cambria" w:hAnsi="Cambria" w:cs="Cambria"/>
              </w:rPr>
              <w:t xml:space="preserve">Key stakeholders from SS&amp;P </w:t>
            </w:r>
          </w:p>
          <w:p w:rsidR="00DA4C8B" w:rsidRDefault="00B876F3" w:rsidP="002A6BEC">
            <w:pPr>
              <w:widowControl w:val="0"/>
              <w:numPr>
                <w:ilvl w:val="0"/>
                <w:numId w:val="6"/>
              </w:numPr>
              <w:ind w:leftChars="0" w:left="246" w:firstLineChars="0" w:hanging="248"/>
              <w:rPr>
                <w:rFonts w:ascii="Cambria" w:eastAsia="Cambria" w:hAnsi="Cambria" w:cs="Cambria"/>
              </w:rPr>
            </w:pPr>
            <w:r>
              <w:rPr>
                <w:rFonts w:ascii="Cambria" w:eastAsia="Cambria" w:hAnsi="Cambria" w:cs="Cambria"/>
              </w:rPr>
              <w:t>Sattva team</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Default="00B876F3">
            <w:pPr>
              <w:widowControl w:val="0"/>
              <w:ind w:left="0" w:hanging="2"/>
              <w:rPr>
                <w:rFonts w:ascii="Cambria" w:eastAsia="Cambria" w:hAnsi="Cambria" w:cs="Cambria"/>
              </w:rPr>
            </w:pPr>
            <w:r>
              <w:rPr>
                <w:rFonts w:ascii="Cambria" w:eastAsia="Cambria" w:hAnsi="Cambria" w:cs="Cambria"/>
                <w:b/>
              </w:rPr>
              <w:t>1.5 hours at the final stage of the engagement</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Default="00B876F3">
            <w:pPr>
              <w:widowControl w:val="0"/>
              <w:ind w:left="0" w:hanging="2"/>
              <w:rPr>
                <w:rFonts w:ascii="Cambria" w:eastAsia="Cambria" w:hAnsi="Cambria" w:cs="Cambria"/>
                <w:color w:val="990000"/>
              </w:rPr>
            </w:pPr>
            <w:r>
              <w:rPr>
                <w:rFonts w:ascii="Cambria" w:eastAsia="Cambria" w:hAnsi="Cambria" w:cs="Cambria"/>
                <w:b/>
                <w:color w:val="990000"/>
              </w:rPr>
              <w:t>High</w:t>
            </w:r>
          </w:p>
        </w:tc>
      </w:tr>
    </w:tbl>
    <w:p w:rsidR="00DA4C8B" w:rsidRDefault="00DA4C8B">
      <w:pPr>
        <w:ind w:left="0" w:hanging="2"/>
        <w:rPr>
          <w:rFonts w:ascii="Cambria" w:eastAsia="Cambria" w:hAnsi="Cambria" w:cs="Cambria"/>
        </w:rPr>
      </w:pPr>
      <w:bookmarkStart w:id="3" w:name="_heading=h.wcsges2axkrb" w:colFirst="0" w:colLast="0"/>
      <w:bookmarkEnd w:id="3"/>
    </w:p>
    <w:p w:rsidR="00DA4C8B" w:rsidRDefault="00B876F3">
      <w:pPr>
        <w:pStyle w:val="Heading1"/>
        <w:ind w:left="1" w:hanging="3"/>
        <w:jc w:val="both"/>
        <w:rPr>
          <w:rFonts w:ascii="Cambria" w:eastAsia="Cambria" w:hAnsi="Cambria" w:cs="Cambria"/>
          <w:sz w:val="22"/>
          <w:szCs w:val="22"/>
        </w:rPr>
      </w:pPr>
      <w:r>
        <w:br w:type="page"/>
      </w:r>
    </w:p>
    <w:p w:rsidR="00DA4C8B" w:rsidRDefault="00B876F3">
      <w:pPr>
        <w:pStyle w:val="Heading1"/>
        <w:ind w:left="0" w:hanging="2"/>
        <w:jc w:val="both"/>
        <w:rPr>
          <w:rFonts w:ascii="Cambria" w:eastAsia="Cambria" w:hAnsi="Cambria" w:cs="Cambria"/>
          <w:sz w:val="22"/>
          <w:szCs w:val="22"/>
        </w:rPr>
      </w:pPr>
      <w:r>
        <w:rPr>
          <w:rFonts w:ascii="Cambria" w:eastAsia="Cambria" w:hAnsi="Cambria" w:cs="Cambria"/>
          <w:sz w:val="22"/>
          <w:szCs w:val="22"/>
        </w:rPr>
        <w:lastRenderedPageBreak/>
        <w:t>KEY DELIVERABLES</w:t>
      </w:r>
    </w:p>
    <w:tbl>
      <w:tblPr>
        <w:tblStyle w:val="af0"/>
        <w:tblW w:w="1008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00"/>
      </w:tblPr>
      <w:tblGrid>
        <w:gridCol w:w="625"/>
        <w:gridCol w:w="8015"/>
        <w:gridCol w:w="1440"/>
      </w:tblGrid>
      <w:tr w:rsidR="00DA4C8B" w:rsidTr="002A6BEC">
        <w:trPr>
          <w:trHeight w:val="298"/>
        </w:trPr>
        <w:tc>
          <w:tcPr>
            <w:tcW w:w="625" w:type="dxa"/>
            <w:tcBorders>
              <w:top w:val="nil"/>
              <w:left w:val="nil"/>
              <w:bottom w:val="single" w:sz="8" w:space="0" w:color="D9D9D9"/>
              <w:right w:val="nil"/>
            </w:tcBorders>
            <w:shd w:val="clear" w:color="auto" w:fill="auto"/>
          </w:tcPr>
          <w:p w:rsidR="00DA4C8B" w:rsidRDefault="00DA4C8B">
            <w:pPr>
              <w:ind w:left="0" w:hanging="2"/>
              <w:jc w:val="both"/>
              <w:rPr>
                <w:rFonts w:ascii="Cambria" w:eastAsia="Cambria" w:hAnsi="Cambria" w:cs="Cambria"/>
              </w:rPr>
            </w:pPr>
          </w:p>
        </w:tc>
        <w:tc>
          <w:tcPr>
            <w:tcW w:w="8015" w:type="dxa"/>
            <w:tcBorders>
              <w:top w:val="nil"/>
              <w:left w:val="nil"/>
              <w:bottom w:val="single" w:sz="8" w:space="0" w:color="D9D9D9"/>
              <w:right w:val="single" w:sz="8" w:space="0" w:color="D9D9D9"/>
            </w:tcBorders>
            <w:shd w:val="clear" w:color="auto" w:fill="auto"/>
          </w:tcPr>
          <w:p w:rsidR="00DA4C8B" w:rsidRDefault="00DA4C8B">
            <w:pPr>
              <w:ind w:left="0" w:hanging="2"/>
              <w:jc w:val="both"/>
              <w:rPr>
                <w:rFonts w:ascii="Cambria" w:eastAsia="Cambria" w:hAnsi="Cambria" w:cs="Cambria"/>
              </w:rPr>
            </w:pPr>
          </w:p>
        </w:tc>
        <w:tc>
          <w:tcPr>
            <w:tcW w:w="1440" w:type="dxa"/>
            <w:tcBorders>
              <w:top w:val="single" w:sz="8" w:space="0" w:color="D9D9D9"/>
              <w:left w:val="single" w:sz="8" w:space="0" w:color="D9D9D9"/>
              <w:bottom w:val="single" w:sz="8" w:space="0" w:color="D9D9D9"/>
              <w:right w:val="single" w:sz="8" w:space="0" w:color="D9D9D9"/>
            </w:tcBorders>
            <w:shd w:val="clear" w:color="auto" w:fill="38761D"/>
          </w:tcPr>
          <w:p w:rsidR="00DA4C8B" w:rsidRDefault="00B876F3">
            <w:pPr>
              <w:ind w:left="0" w:hanging="2"/>
              <w:jc w:val="both"/>
              <w:rPr>
                <w:rFonts w:ascii="Cambria" w:eastAsia="Cambria" w:hAnsi="Cambria" w:cs="Cambria"/>
              </w:rPr>
            </w:pPr>
            <w:r>
              <w:rPr>
                <w:rFonts w:ascii="Cambria" w:eastAsia="Cambria" w:hAnsi="Cambria" w:cs="Cambria"/>
                <w:b/>
                <w:color w:val="FFFFFF"/>
              </w:rPr>
              <w:t>Tentative Timelines</w:t>
            </w:r>
          </w:p>
        </w:tc>
      </w:tr>
      <w:tr w:rsidR="00DA4C8B" w:rsidTr="002A6BEC">
        <w:trPr>
          <w:trHeight w:val="303"/>
        </w:trPr>
        <w:tc>
          <w:tcPr>
            <w:tcW w:w="62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b/>
              </w:rPr>
              <w:t>#</w:t>
            </w:r>
          </w:p>
        </w:tc>
        <w:tc>
          <w:tcPr>
            <w:tcW w:w="801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both"/>
              <w:rPr>
                <w:rFonts w:ascii="Cambria" w:eastAsia="Cambria" w:hAnsi="Cambria" w:cs="Cambria"/>
              </w:rPr>
            </w:pPr>
            <w:r>
              <w:rPr>
                <w:rFonts w:ascii="Cambria" w:eastAsia="Cambria" w:hAnsi="Cambria" w:cs="Cambria"/>
                <w:b/>
              </w:rPr>
              <w:t>Deliverables</w:t>
            </w:r>
          </w:p>
        </w:tc>
        <w:tc>
          <w:tcPr>
            <w:tcW w:w="1440"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b/>
              </w:rPr>
              <w:t>Month</w:t>
            </w:r>
          </w:p>
        </w:tc>
      </w:tr>
      <w:tr w:rsidR="00DA4C8B"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1</w:t>
            </w:r>
          </w:p>
        </w:tc>
        <w:tc>
          <w:tcPr>
            <w:tcW w:w="801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both"/>
              <w:rPr>
                <w:rFonts w:ascii="Cambria" w:eastAsia="Cambria" w:hAnsi="Cambria" w:cs="Cambria"/>
              </w:rPr>
            </w:pPr>
            <w:r>
              <w:rPr>
                <w:rFonts w:ascii="Cambria" w:eastAsia="Cambria" w:hAnsi="Cambria" w:cs="Cambria"/>
              </w:rPr>
              <w:t>Summary of Secondary research in TB</w:t>
            </w:r>
          </w:p>
        </w:tc>
        <w:tc>
          <w:tcPr>
            <w:tcW w:w="1440"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1</w:t>
            </w:r>
          </w:p>
        </w:tc>
      </w:tr>
      <w:tr w:rsidR="00DA4C8B"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2</w:t>
            </w:r>
          </w:p>
        </w:tc>
        <w:tc>
          <w:tcPr>
            <w:tcW w:w="801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both"/>
              <w:rPr>
                <w:rFonts w:ascii="Cambria" w:eastAsia="Cambria" w:hAnsi="Cambria" w:cs="Cambria"/>
              </w:rPr>
            </w:pPr>
            <w:r>
              <w:rPr>
                <w:rFonts w:ascii="Cambria" w:eastAsia="Cambria" w:hAnsi="Cambria" w:cs="Cambria"/>
              </w:rPr>
              <w:t>Knowledge transfer deck with illustrative examples of convergence of SS&amp;P with TB team</w:t>
            </w:r>
          </w:p>
        </w:tc>
        <w:tc>
          <w:tcPr>
            <w:tcW w:w="1440"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2</w:t>
            </w:r>
          </w:p>
        </w:tc>
      </w:tr>
      <w:tr w:rsidR="00DA4C8B"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3</w:t>
            </w:r>
          </w:p>
        </w:tc>
        <w:tc>
          <w:tcPr>
            <w:tcW w:w="801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both"/>
              <w:rPr>
                <w:rFonts w:ascii="Cambria" w:eastAsia="Cambria" w:hAnsi="Cambria" w:cs="Cambria"/>
              </w:rPr>
            </w:pPr>
            <w:r>
              <w:rPr>
                <w:rFonts w:ascii="Cambria" w:eastAsia="Cambria" w:hAnsi="Cambria" w:cs="Cambria"/>
              </w:rPr>
              <w:t>Summary of Secondary research in Family Planning (FP)</w:t>
            </w:r>
          </w:p>
        </w:tc>
        <w:tc>
          <w:tcPr>
            <w:tcW w:w="1440"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3</w:t>
            </w:r>
          </w:p>
        </w:tc>
      </w:tr>
      <w:tr w:rsidR="00DA4C8B"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4</w:t>
            </w:r>
          </w:p>
        </w:tc>
        <w:tc>
          <w:tcPr>
            <w:tcW w:w="801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both"/>
              <w:rPr>
                <w:rFonts w:ascii="Cambria" w:eastAsia="Cambria" w:hAnsi="Cambria" w:cs="Cambria"/>
              </w:rPr>
            </w:pPr>
            <w:r>
              <w:rPr>
                <w:rFonts w:ascii="Cambria" w:eastAsia="Cambria" w:hAnsi="Cambria" w:cs="Cambria"/>
              </w:rPr>
              <w:t>Knowledge transfer deck with illustrative examples of convergence of SS&amp;P with FP team</w:t>
            </w:r>
          </w:p>
        </w:tc>
        <w:tc>
          <w:tcPr>
            <w:tcW w:w="1440"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3</w:t>
            </w:r>
          </w:p>
        </w:tc>
      </w:tr>
      <w:tr w:rsidR="00DA4C8B"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5</w:t>
            </w:r>
          </w:p>
        </w:tc>
        <w:tc>
          <w:tcPr>
            <w:tcW w:w="801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both"/>
              <w:rPr>
                <w:rFonts w:ascii="Cambria" w:eastAsia="Cambria" w:hAnsi="Cambria" w:cs="Cambria"/>
              </w:rPr>
            </w:pPr>
            <w:r>
              <w:rPr>
                <w:rFonts w:ascii="Cambria" w:eastAsia="Cambria" w:hAnsi="Cambria" w:cs="Cambria"/>
              </w:rPr>
              <w:t>Summary of Secondary research in Sanitation</w:t>
            </w:r>
          </w:p>
        </w:tc>
        <w:tc>
          <w:tcPr>
            <w:tcW w:w="1440"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4</w:t>
            </w:r>
          </w:p>
        </w:tc>
      </w:tr>
      <w:tr w:rsidR="00DA4C8B"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6</w:t>
            </w:r>
          </w:p>
        </w:tc>
        <w:tc>
          <w:tcPr>
            <w:tcW w:w="801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both"/>
              <w:rPr>
                <w:rFonts w:ascii="Cambria" w:eastAsia="Cambria" w:hAnsi="Cambria" w:cs="Cambria"/>
              </w:rPr>
            </w:pPr>
            <w:r>
              <w:rPr>
                <w:rFonts w:ascii="Cambria" w:eastAsia="Cambria" w:hAnsi="Cambria" w:cs="Cambria"/>
              </w:rPr>
              <w:t xml:space="preserve">Knowledge transfer deck with illustrative examples of convergence of SS&amp;P with Sanitation </w:t>
            </w:r>
          </w:p>
        </w:tc>
        <w:tc>
          <w:tcPr>
            <w:tcW w:w="1440"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5</w:t>
            </w:r>
          </w:p>
        </w:tc>
      </w:tr>
      <w:tr w:rsidR="00DA4C8B"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7</w:t>
            </w:r>
          </w:p>
        </w:tc>
        <w:tc>
          <w:tcPr>
            <w:tcW w:w="8015"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both"/>
              <w:rPr>
                <w:rFonts w:ascii="Cambria" w:eastAsia="Cambria" w:hAnsi="Cambria" w:cs="Cambria"/>
              </w:rPr>
            </w:pPr>
            <w:r>
              <w:rPr>
                <w:rFonts w:ascii="Cambria" w:eastAsia="Cambria" w:hAnsi="Cambria" w:cs="Cambria"/>
              </w:rPr>
              <w:t xml:space="preserve">Deck with consolidated discussion pointers and next steps from meetings with 3 program verticals </w:t>
            </w:r>
          </w:p>
        </w:tc>
        <w:tc>
          <w:tcPr>
            <w:tcW w:w="1440" w:type="dxa"/>
            <w:tcBorders>
              <w:top w:val="single" w:sz="8" w:space="0" w:color="D9D9D9"/>
              <w:left w:val="single" w:sz="8" w:space="0" w:color="D9D9D9"/>
              <w:bottom w:val="single" w:sz="8" w:space="0" w:color="D9D9D9"/>
              <w:right w:val="single" w:sz="8" w:space="0" w:color="D9D9D9"/>
            </w:tcBorders>
          </w:tcPr>
          <w:p w:rsidR="00DA4C8B" w:rsidRDefault="00B876F3">
            <w:pPr>
              <w:ind w:left="0" w:hanging="2"/>
              <w:jc w:val="center"/>
              <w:rPr>
                <w:rFonts w:ascii="Cambria" w:eastAsia="Cambria" w:hAnsi="Cambria" w:cs="Cambria"/>
              </w:rPr>
            </w:pPr>
            <w:r>
              <w:rPr>
                <w:rFonts w:ascii="Cambria" w:eastAsia="Cambria" w:hAnsi="Cambria" w:cs="Cambria"/>
              </w:rPr>
              <w:t>6</w:t>
            </w:r>
          </w:p>
        </w:tc>
      </w:tr>
    </w:tbl>
    <w:p w:rsidR="00DA4C8B" w:rsidRDefault="00DA4C8B" w:rsidP="007341D6">
      <w:pPr>
        <w:pStyle w:val="Heading1"/>
        <w:spacing w:after="200"/>
        <w:ind w:leftChars="0" w:left="0" w:firstLineChars="0" w:firstLine="0"/>
        <w:jc w:val="both"/>
        <w:rPr>
          <w:rFonts w:ascii="Cambria" w:eastAsia="Cambria" w:hAnsi="Cambria" w:cs="Cambria"/>
          <w:sz w:val="22"/>
          <w:szCs w:val="22"/>
        </w:rPr>
        <w:sectPr w:rsidR="00DA4C8B">
          <w:headerReference w:type="even" r:id="rId9"/>
          <w:headerReference w:type="default" r:id="rId10"/>
          <w:footerReference w:type="even" r:id="rId11"/>
          <w:footerReference w:type="default" r:id="rId12"/>
          <w:headerReference w:type="first" r:id="rId13"/>
          <w:footerReference w:type="first" r:id="rId14"/>
          <w:pgSz w:w="12240" w:h="15840"/>
          <w:pgMar w:top="2460" w:right="1300" w:bottom="280" w:left="1180" w:header="740" w:footer="0" w:gutter="0"/>
          <w:pgNumType w:start="1"/>
          <w:cols w:space="720"/>
        </w:sectPr>
      </w:pPr>
    </w:p>
    <w:p w:rsidR="00DA4C8B" w:rsidRDefault="00B876F3">
      <w:pPr>
        <w:pStyle w:val="Heading1"/>
        <w:spacing w:after="0"/>
        <w:ind w:left="0" w:hanging="2"/>
        <w:jc w:val="both"/>
        <w:rPr>
          <w:rFonts w:ascii="Cambria" w:eastAsia="Cambria" w:hAnsi="Cambria" w:cs="Cambria"/>
          <w:sz w:val="22"/>
          <w:szCs w:val="22"/>
        </w:rPr>
      </w:pPr>
      <w:r>
        <w:rPr>
          <w:rFonts w:ascii="Cambria" w:eastAsia="Cambria" w:hAnsi="Cambria" w:cs="Cambria"/>
          <w:sz w:val="22"/>
          <w:szCs w:val="22"/>
        </w:rPr>
        <w:lastRenderedPageBreak/>
        <w:t>KEY TRACKS &amp; TIMELINES</w:t>
      </w:r>
    </w:p>
    <w:p w:rsidR="00DA4C8B" w:rsidRDefault="00DA4C8B">
      <w:pPr>
        <w:ind w:left="0" w:hanging="2"/>
        <w:rPr>
          <w:rFonts w:ascii="Cambria" w:eastAsia="Cambria" w:hAnsi="Cambria" w:cs="Cambria"/>
        </w:rPr>
      </w:pPr>
    </w:p>
    <w:tbl>
      <w:tblPr>
        <w:tblStyle w:val="af1"/>
        <w:tblW w:w="10815" w:type="dxa"/>
        <w:tblInd w:w="-425" w:type="dxa"/>
        <w:tblBorders>
          <w:top w:val="nil"/>
          <w:left w:val="nil"/>
          <w:bottom w:val="nil"/>
          <w:right w:val="nil"/>
          <w:insideH w:val="nil"/>
          <w:insideV w:val="nil"/>
        </w:tblBorders>
        <w:tblLayout w:type="fixed"/>
        <w:tblLook w:val="0600"/>
      </w:tblPr>
      <w:tblGrid>
        <w:gridCol w:w="360"/>
        <w:gridCol w:w="3816"/>
        <w:gridCol w:w="276"/>
        <w:gridCol w:w="276"/>
        <w:gridCol w:w="276"/>
        <w:gridCol w:w="276"/>
        <w:gridCol w:w="276"/>
        <w:gridCol w:w="276"/>
        <w:gridCol w:w="276"/>
        <w:gridCol w:w="276"/>
        <w:gridCol w:w="276"/>
        <w:gridCol w:w="277"/>
        <w:gridCol w:w="277"/>
        <w:gridCol w:w="277"/>
        <w:gridCol w:w="277"/>
        <w:gridCol w:w="277"/>
        <w:gridCol w:w="277"/>
        <w:gridCol w:w="277"/>
        <w:gridCol w:w="277"/>
        <w:gridCol w:w="277"/>
        <w:gridCol w:w="277"/>
        <w:gridCol w:w="277"/>
        <w:gridCol w:w="277"/>
        <w:gridCol w:w="277"/>
        <w:gridCol w:w="277"/>
        <w:gridCol w:w="277"/>
      </w:tblGrid>
      <w:tr w:rsidR="00DA4C8B">
        <w:trPr>
          <w:trHeight w:val="270"/>
          <w:tblHeader/>
        </w:trPr>
        <w:tc>
          <w:tcPr>
            <w:tcW w:w="360" w:type="dxa"/>
            <w:vMerge w:val="restart"/>
            <w:tcBorders>
              <w:top w:val="single" w:sz="6" w:space="0" w:color="999999"/>
              <w:left w:val="single" w:sz="6" w:space="0" w:color="999999"/>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3810" w:type="dxa"/>
            <w:vMerge w:val="restart"/>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ind w:left="0" w:hanging="2"/>
              <w:rPr>
                <w:rFonts w:ascii="Cambria" w:eastAsia="Cambria" w:hAnsi="Cambria" w:cs="Cambria"/>
                <w:b/>
                <w:color w:val="FFFFFF"/>
                <w:sz w:val="24"/>
                <w:szCs w:val="24"/>
              </w:rPr>
            </w:pPr>
            <w:r>
              <w:rPr>
                <w:rFonts w:ascii="Cambria" w:eastAsia="Cambria" w:hAnsi="Cambria" w:cs="Cambria"/>
                <w:b/>
                <w:color w:val="FFFFFF"/>
                <w:sz w:val="24"/>
                <w:szCs w:val="24"/>
              </w:rPr>
              <w:t>Key Tracks</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b/>
                <w:color w:val="FFFFFF"/>
                <w:sz w:val="12"/>
                <w:szCs w:val="12"/>
              </w:rPr>
            </w:pPr>
            <w:r>
              <w:rPr>
                <w:rFonts w:ascii="Cambria" w:eastAsia="Cambria" w:hAnsi="Cambria" w:cs="Cambria"/>
                <w:b/>
                <w:color w:val="FFFFFF"/>
                <w:sz w:val="12"/>
                <w:szCs w:val="12"/>
              </w:rPr>
              <w:t>April</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b/>
                <w:color w:val="FFFFFF"/>
                <w:sz w:val="12"/>
                <w:szCs w:val="12"/>
              </w:rPr>
            </w:pPr>
            <w:r>
              <w:rPr>
                <w:rFonts w:ascii="Cambria" w:eastAsia="Cambria" w:hAnsi="Cambria" w:cs="Cambria"/>
                <w:b/>
                <w:color w:val="FFFFFF"/>
                <w:sz w:val="12"/>
                <w:szCs w:val="12"/>
              </w:rPr>
              <w:t>May</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b/>
                <w:color w:val="FFFFFF"/>
                <w:sz w:val="12"/>
                <w:szCs w:val="12"/>
              </w:rPr>
            </w:pPr>
            <w:r>
              <w:rPr>
                <w:rFonts w:ascii="Cambria" w:eastAsia="Cambria" w:hAnsi="Cambria" w:cs="Cambria"/>
                <w:b/>
                <w:color w:val="FFFFFF"/>
                <w:sz w:val="12"/>
                <w:szCs w:val="12"/>
              </w:rPr>
              <w:t>June</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b/>
                <w:color w:val="FFFFFF"/>
                <w:sz w:val="12"/>
                <w:szCs w:val="12"/>
              </w:rPr>
            </w:pPr>
            <w:r>
              <w:rPr>
                <w:rFonts w:ascii="Cambria" w:eastAsia="Cambria" w:hAnsi="Cambria" w:cs="Cambria"/>
                <w:b/>
                <w:color w:val="FFFFFF"/>
                <w:sz w:val="12"/>
                <w:szCs w:val="12"/>
              </w:rPr>
              <w:t>July</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b/>
                <w:color w:val="FFFFFF"/>
                <w:sz w:val="12"/>
                <w:szCs w:val="12"/>
              </w:rPr>
            </w:pPr>
            <w:r>
              <w:rPr>
                <w:rFonts w:ascii="Cambria" w:eastAsia="Cambria" w:hAnsi="Cambria" w:cs="Cambria"/>
                <w:b/>
                <w:color w:val="FFFFFF"/>
                <w:sz w:val="12"/>
                <w:szCs w:val="12"/>
              </w:rPr>
              <w:t>August</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b/>
                <w:color w:val="FFFFFF"/>
                <w:sz w:val="12"/>
                <w:szCs w:val="12"/>
              </w:rPr>
            </w:pPr>
            <w:r>
              <w:rPr>
                <w:rFonts w:ascii="Cambria" w:eastAsia="Cambria" w:hAnsi="Cambria" w:cs="Cambria"/>
                <w:b/>
                <w:color w:val="FFFFFF"/>
                <w:sz w:val="12"/>
                <w:szCs w:val="12"/>
              </w:rPr>
              <w:t>September</w:t>
            </w:r>
          </w:p>
        </w:tc>
      </w:tr>
      <w:tr w:rsidR="00DA4C8B">
        <w:trPr>
          <w:trHeight w:val="440"/>
          <w:tblHeader/>
        </w:trPr>
        <w:tc>
          <w:tcPr>
            <w:tcW w:w="360" w:type="dxa"/>
            <w:vMerge/>
            <w:tcBorders>
              <w:top w:val="single" w:sz="6" w:space="0" w:color="999999"/>
              <w:left w:val="single" w:sz="6" w:space="0" w:color="999999"/>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DA4C8B">
            <w:pPr>
              <w:spacing w:line="240" w:lineRule="auto"/>
              <w:ind w:left="0" w:hanging="2"/>
              <w:rPr>
                <w:rFonts w:ascii="Cambria" w:eastAsia="Cambria" w:hAnsi="Cambria" w:cs="Cambria"/>
                <w:sz w:val="24"/>
                <w:szCs w:val="24"/>
              </w:rPr>
            </w:pPr>
          </w:p>
        </w:tc>
        <w:tc>
          <w:tcPr>
            <w:tcW w:w="3810" w:type="dxa"/>
            <w:vMerge/>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DA4C8B">
            <w:pPr>
              <w:spacing w:line="240" w:lineRule="auto"/>
              <w:ind w:left="0" w:hanging="2"/>
              <w:rPr>
                <w:rFonts w:ascii="Cambria" w:eastAsia="Cambria" w:hAnsi="Cambria" w:cs="Cambria"/>
                <w:sz w:val="24"/>
                <w:szCs w:val="24"/>
              </w:rPr>
            </w:pP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W4</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W5</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W6</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W7</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W8</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W9</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10</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14</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15</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16</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17</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18</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19</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20</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21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22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23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Default="00B876F3">
            <w:pPr>
              <w:jc w:val="center"/>
              <w:rPr>
                <w:rFonts w:ascii="Cambria" w:eastAsia="Cambria" w:hAnsi="Cambria" w:cs="Cambria"/>
                <w:sz w:val="24"/>
                <w:szCs w:val="24"/>
              </w:rPr>
            </w:pPr>
            <w:r>
              <w:rPr>
                <w:rFonts w:ascii="Cambria" w:eastAsia="Cambria" w:hAnsi="Cambria" w:cs="Cambria"/>
                <w:b/>
                <w:color w:val="FFFFFF"/>
                <w:sz w:val="12"/>
                <w:szCs w:val="12"/>
              </w:rPr>
              <w:t>W 24</w:t>
            </w: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A</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TB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Deck with research on investments and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Based on TB pain points articulate indicative convergence projects</w:t>
            </w: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Create summary slides on BOWs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Paraphrase SS&amp;P offerings and BOWs to cater to TB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Create illustrative examples on state capacity reform areas for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Knowledge transfer of TB pain-points and innovations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Consolidate all research in a deck</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Workshop 1 with SS&amp;P for knowledge transfer on pain points in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Create deck with illustrative examples of how SS&amp;P offerings can solve for state capacity challenges in TB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Workshop 2 with SS&amp;P for knowledge transfer on solution ecosystem for transversal state capacity issues in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B</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Family planning (FP)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Research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Get list of FP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Perform secondary research on pain points and summarize findings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Knowledge transfer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Consolidate all research on FP ecosystem and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Workshop 1 with SS&amp;P for knowledge transfer on pain points in FP</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450"/>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Create deck with illustrative examples of how SS&amp;P offerings can solve for state capacity challenges in FP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450"/>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Workshop 2 with SS&amp;P for knowledge transfer on solution ecosystem for transversal state capacity issues in FP</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C</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Sanitation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Research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Get list of Sanitation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Perform secondary research on pain points and summarize findings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Knowledge transfer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5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Consolidate all research on Sanitation ecosystem and its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5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Workshop 1 with SS&amp;P for knowledge transfer on pain points in Sanitation</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lastRenderedPageBreak/>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Create deck with illustrative examples of how SS&amp;P offerings can solve for state capacity challenges in Sanitation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Workshop 2 with SS&amp;P for knowledge transfer on solution ecosystem for transversal state capacity issues in Sanitation</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4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D</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Alignment between SS&amp;P and 3 verticals</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Participate in alignment meetings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18"/>
                <w:szCs w:val="18"/>
              </w:rPr>
            </w:pPr>
            <w:r>
              <w:rPr>
                <w:rFonts w:ascii="Cambria" w:eastAsia="Cambria" w:hAnsi="Cambria" w:cs="Cambria"/>
                <w:sz w:val="18"/>
                <w:szCs w:val="18"/>
              </w:rPr>
              <w:t>1c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Get decks and material from all 3 verticals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Consolidate discussion conclusion and next steps from alignment meetings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4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b/>
                <w:sz w:val="18"/>
                <w:szCs w:val="18"/>
              </w:rPr>
              <w:t>E</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b/>
                <w:sz w:val="18"/>
                <w:szCs w:val="18"/>
              </w:rPr>
              <w:t>Engagement Closure</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r w:rsidR="00DA4C8B">
        <w:trPr>
          <w:trHeight w:val="24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jc w:val="center"/>
              <w:rPr>
                <w:rFonts w:ascii="Cambria" w:eastAsia="Cambria" w:hAnsi="Cambria" w:cs="Cambria"/>
                <w:sz w:val="24"/>
                <w:szCs w:val="24"/>
              </w:rPr>
            </w:pPr>
            <w:r>
              <w:rPr>
                <w:rFonts w:ascii="Cambria" w:eastAsia="Cambria" w:hAnsi="Cambria" w:cs="Cambria"/>
                <w:sz w:val="18"/>
                <w:szCs w:val="18"/>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B876F3">
            <w:pPr>
              <w:ind w:left="0" w:hanging="2"/>
              <w:rPr>
                <w:rFonts w:ascii="Cambria" w:eastAsia="Cambria" w:hAnsi="Cambria" w:cs="Cambria"/>
                <w:sz w:val="24"/>
                <w:szCs w:val="24"/>
              </w:rPr>
            </w:pPr>
            <w:r>
              <w:rPr>
                <w:rFonts w:ascii="Cambria" w:eastAsia="Cambria" w:hAnsi="Cambria" w:cs="Cambria"/>
                <w:sz w:val="18"/>
                <w:szCs w:val="18"/>
              </w:rPr>
              <w:t>Handover and closure meeting</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Default="00DA4C8B">
            <w:pPr>
              <w:ind w:left="0" w:hanging="2"/>
              <w:rPr>
                <w:rFonts w:ascii="Cambria" w:eastAsia="Cambria" w:hAnsi="Cambria" w:cs="Cambria"/>
                <w:sz w:val="24"/>
                <w:szCs w:val="24"/>
              </w:rPr>
            </w:pPr>
          </w:p>
        </w:tc>
      </w:tr>
    </w:tbl>
    <w:p w:rsidR="00DA4C8B" w:rsidRDefault="00DA4C8B" w:rsidP="007341D6">
      <w:pPr>
        <w:ind w:leftChars="0" w:left="0" w:firstLineChars="0" w:firstLine="0"/>
        <w:jc w:val="both"/>
        <w:rPr>
          <w:rFonts w:ascii="Cambria" w:eastAsia="Cambria" w:hAnsi="Cambria" w:cs="Cambria"/>
        </w:rPr>
      </w:pPr>
      <w:bookmarkStart w:id="4" w:name="_heading=h.mexrhypbgpbp" w:colFirst="0" w:colLast="0"/>
      <w:bookmarkStart w:id="5" w:name="_heading=h.6nht0wid2c63" w:colFirst="0" w:colLast="0"/>
      <w:bookmarkEnd w:id="4"/>
      <w:bookmarkEnd w:id="5"/>
    </w:p>
    <w:p w:rsidR="007341D6" w:rsidRDefault="007341D6" w:rsidP="007341D6">
      <w:pPr>
        <w:ind w:leftChars="0" w:left="0" w:firstLineChars="0" w:firstLine="0"/>
        <w:jc w:val="both"/>
        <w:rPr>
          <w:rFonts w:ascii="Cambria" w:eastAsia="Cambria" w:hAnsi="Cambria" w:cs="Cambria"/>
        </w:rPr>
      </w:pPr>
    </w:p>
    <w:p w:rsidR="00DA4C8B" w:rsidRDefault="00B876F3">
      <w:pPr>
        <w:ind w:left="0" w:hanging="2"/>
        <w:rPr>
          <w:rFonts w:ascii="Cambria" w:eastAsia="Cambria" w:hAnsi="Cambria" w:cs="Cambria"/>
        </w:rPr>
      </w:pPr>
      <w:r>
        <w:rPr>
          <w:rFonts w:ascii="Cambria" w:eastAsia="Cambria" w:hAnsi="Cambria" w:cs="Cambria"/>
          <w:b/>
        </w:rPr>
        <w:t>Deliverables &amp; Payment Schedule</w:t>
      </w:r>
    </w:p>
    <w:p w:rsidR="00DA4C8B" w:rsidRDefault="00DA4C8B">
      <w:pPr>
        <w:ind w:left="0" w:hanging="2"/>
        <w:rPr>
          <w:rFonts w:ascii="Cambria" w:eastAsia="Cambria" w:hAnsi="Cambria" w:cs="Cambria"/>
        </w:rPr>
      </w:pPr>
    </w:p>
    <w:tbl>
      <w:tblPr>
        <w:tblStyle w:val="af7"/>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4"/>
        <w:gridCol w:w="3814"/>
        <w:gridCol w:w="5467"/>
      </w:tblGrid>
      <w:tr w:rsidR="00DA4C8B" w:rsidTr="002A6BEC">
        <w:tc>
          <w:tcPr>
            <w:tcW w:w="704" w:type="dxa"/>
            <w:shd w:val="clear" w:color="auto" w:fill="C4BC96"/>
          </w:tcPr>
          <w:p w:rsidR="00DA4C8B" w:rsidRDefault="00DA4C8B">
            <w:pPr>
              <w:ind w:left="0" w:hanging="2"/>
              <w:rPr>
                <w:rFonts w:ascii="Cambria" w:eastAsia="Cambria" w:hAnsi="Cambria" w:cs="Cambria"/>
              </w:rPr>
            </w:pPr>
          </w:p>
        </w:tc>
        <w:tc>
          <w:tcPr>
            <w:tcW w:w="3814" w:type="dxa"/>
            <w:shd w:val="clear" w:color="auto" w:fill="C4BC96"/>
          </w:tcPr>
          <w:p w:rsidR="00DA4C8B" w:rsidRDefault="00B876F3">
            <w:pPr>
              <w:ind w:left="0" w:hanging="2"/>
              <w:rPr>
                <w:rFonts w:ascii="Cambria" w:eastAsia="Cambria" w:hAnsi="Cambria" w:cs="Cambria"/>
              </w:rPr>
            </w:pPr>
            <w:r>
              <w:rPr>
                <w:rFonts w:ascii="Cambria" w:eastAsia="Cambria" w:hAnsi="Cambria" w:cs="Cambria"/>
                <w:b/>
              </w:rPr>
              <w:t>Deliverables</w:t>
            </w:r>
          </w:p>
        </w:tc>
        <w:tc>
          <w:tcPr>
            <w:tcW w:w="5467" w:type="dxa"/>
            <w:shd w:val="clear" w:color="auto" w:fill="C4BC96"/>
          </w:tcPr>
          <w:p w:rsidR="00DA4C8B" w:rsidRDefault="00B876F3">
            <w:pPr>
              <w:ind w:left="0" w:hanging="2"/>
              <w:rPr>
                <w:rFonts w:ascii="Cambria" w:eastAsia="Cambria" w:hAnsi="Cambria" w:cs="Cambria"/>
              </w:rPr>
            </w:pPr>
            <w:r>
              <w:rPr>
                <w:rFonts w:ascii="Cambria" w:eastAsia="Cambria" w:hAnsi="Cambria" w:cs="Cambria"/>
                <w:b/>
              </w:rPr>
              <w:t xml:space="preserve">Payment Schedule </w:t>
            </w:r>
          </w:p>
        </w:tc>
      </w:tr>
      <w:tr w:rsidR="00DA4C8B" w:rsidTr="002A6BEC">
        <w:tc>
          <w:tcPr>
            <w:tcW w:w="704" w:type="dxa"/>
          </w:tcPr>
          <w:p w:rsidR="00DA4C8B" w:rsidRDefault="00B876F3">
            <w:pPr>
              <w:ind w:left="0" w:hanging="2"/>
              <w:rPr>
                <w:rFonts w:ascii="Cambria" w:eastAsia="Cambria" w:hAnsi="Cambria" w:cs="Cambria"/>
              </w:rPr>
            </w:pPr>
            <w:r>
              <w:rPr>
                <w:rFonts w:ascii="Cambria" w:eastAsia="Cambria" w:hAnsi="Cambria" w:cs="Cambria"/>
              </w:rPr>
              <w:t>1</w:t>
            </w:r>
          </w:p>
        </w:tc>
        <w:tc>
          <w:tcPr>
            <w:tcW w:w="3814" w:type="dxa"/>
          </w:tcPr>
          <w:p w:rsidR="00DA4C8B" w:rsidRDefault="00B876F3">
            <w:pPr>
              <w:ind w:left="0" w:hanging="2"/>
              <w:rPr>
                <w:rFonts w:ascii="Cambria" w:eastAsia="Cambria" w:hAnsi="Cambria" w:cs="Cambria"/>
              </w:rPr>
            </w:pPr>
            <w:r>
              <w:rPr>
                <w:rFonts w:ascii="Cambria" w:eastAsia="Cambria" w:hAnsi="Cambria" w:cs="Cambria"/>
              </w:rPr>
              <w:t xml:space="preserve">Signing of Contract </w:t>
            </w:r>
          </w:p>
        </w:tc>
        <w:tc>
          <w:tcPr>
            <w:tcW w:w="5467" w:type="dxa"/>
          </w:tcPr>
          <w:p w:rsidR="00DA4C8B" w:rsidRDefault="00B876F3">
            <w:pPr>
              <w:ind w:left="0" w:hanging="2"/>
              <w:rPr>
                <w:rFonts w:ascii="Cambria" w:eastAsia="Cambria" w:hAnsi="Cambria" w:cs="Cambria"/>
              </w:rPr>
            </w:pPr>
            <w:r>
              <w:rPr>
                <w:rFonts w:ascii="Cambria" w:eastAsia="Cambria" w:hAnsi="Cambria" w:cs="Cambria"/>
              </w:rPr>
              <w:t>April 2022 (50 percent)</w:t>
            </w:r>
          </w:p>
        </w:tc>
      </w:tr>
      <w:tr w:rsidR="00DA4C8B" w:rsidTr="002A6BEC">
        <w:tc>
          <w:tcPr>
            <w:tcW w:w="704" w:type="dxa"/>
          </w:tcPr>
          <w:p w:rsidR="00DA4C8B" w:rsidRDefault="00B876F3">
            <w:pPr>
              <w:ind w:left="0" w:hanging="2"/>
              <w:rPr>
                <w:rFonts w:ascii="Cambria" w:eastAsia="Cambria" w:hAnsi="Cambria" w:cs="Cambria"/>
              </w:rPr>
            </w:pPr>
            <w:r>
              <w:rPr>
                <w:rFonts w:ascii="Cambria" w:eastAsia="Cambria" w:hAnsi="Cambria" w:cs="Cambria"/>
              </w:rPr>
              <w:t>2</w:t>
            </w:r>
          </w:p>
        </w:tc>
        <w:tc>
          <w:tcPr>
            <w:tcW w:w="3814" w:type="dxa"/>
          </w:tcPr>
          <w:p w:rsidR="00DA4C8B" w:rsidRDefault="00B876F3">
            <w:pPr>
              <w:ind w:left="0" w:hanging="2"/>
              <w:rPr>
                <w:rFonts w:ascii="Cambria" w:eastAsia="Cambria" w:hAnsi="Cambria" w:cs="Cambria"/>
              </w:rPr>
            </w:pPr>
            <w:r>
              <w:rPr>
                <w:rFonts w:ascii="Cambria" w:eastAsia="Cambria" w:hAnsi="Cambria" w:cs="Cambria"/>
              </w:rPr>
              <w:t>Final Report</w:t>
            </w:r>
          </w:p>
        </w:tc>
        <w:tc>
          <w:tcPr>
            <w:tcW w:w="5467" w:type="dxa"/>
          </w:tcPr>
          <w:p w:rsidR="00DA4C8B" w:rsidRDefault="00B876F3">
            <w:pPr>
              <w:ind w:left="0" w:hanging="2"/>
              <w:rPr>
                <w:rFonts w:ascii="Cambria" w:eastAsia="Cambria" w:hAnsi="Cambria" w:cs="Cambria"/>
              </w:rPr>
            </w:pPr>
            <w:r>
              <w:rPr>
                <w:rFonts w:ascii="Cambria" w:eastAsia="Cambria" w:hAnsi="Cambria" w:cs="Cambria"/>
              </w:rPr>
              <w:t>September 2022 (50 percent)</w:t>
            </w:r>
          </w:p>
        </w:tc>
      </w:tr>
    </w:tbl>
    <w:p w:rsidR="00DA4C8B" w:rsidRDefault="00DA4C8B">
      <w:pPr>
        <w:ind w:left="0" w:hanging="2"/>
        <w:rPr>
          <w:rFonts w:ascii="Cambria" w:eastAsia="Cambria" w:hAnsi="Cambria" w:cs="Cambria"/>
          <w:highlight w:val="white"/>
        </w:rPr>
      </w:pPr>
    </w:p>
    <w:p w:rsidR="00DA4C8B" w:rsidRDefault="00DA4C8B">
      <w:pPr>
        <w:ind w:left="0" w:hanging="2"/>
        <w:rPr>
          <w:rFonts w:ascii="Cambria" w:eastAsia="Cambria" w:hAnsi="Cambria" w:cs="Cambria"/>
        </w:rPr>
      </w:pPr>
    </w:p>
    <w:p w:rsidR="00DA4C8B" w:rsidRDefault="00DA4C8B">
      <w:pPr>
        <w:ind w:left="0" w:hanging="2"/>
        <w:rPr>
          <w:rFonts w:ascii="Cambria" w:eastAsia="Cambria" w:hAnsi="Cambria" w:cs="Cambria"/>
        </w:rPr>
      </w:pPr>
    </w:p>
    <w:p w:rsidR="00DA4C8B" w:rsidRDefault="00DA4C8B">
      <w:pPr>
        <w:ind w:left="0" w:hanging="2"/>
        <w:rPr>
          <w:rFonts w:ascii="Cambria" w:eastAsia="Cambria" w:hAnsi="Cambria" w:cs="Cambria"/>
        </w:rPr>
      </w:pPr>
    </w:p>
    <w:p w:rsidR="00DA4C8B" w:rsidRDefault="00DA4C8B">
      <w:pPr>
        <w:ind w:left="0" w:hanging="2"/>
        <w:jc w:val="both"/>
        <w:rPr>
          <w:rFonts w:ascii="Cambria" w:eastAsia="Cambria" w:hAnsi="Cambria" w:cs="Cambria"/>
        </w:rPr>
      </w:pPr>
    </w:p>
    <w:sectPr w:rsidR="00DA4C8B" w:rsidSect="003C7E31">
      <w:pgSz w:w="12240" w:h="15840"/>
      <w:pgMar w:top="2250" w:right="1300" w:bottom="280" w:left="1180" w:header="74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B92" w:rsidRDefault="00FD1B92">
      <w:pPr>
        <w:spacing w:line="240" w:lineRule="auto"/>
        <w:ind w:left="0" w:hanging="2"/>
      </w:pPr>
      <w:r>
        <w:separator/>
      </w:r>
    </w:p>
  </w:endnote>
  <w:endnote w:type="continuationSeparator" w:id="1">
    <w:p w:rsidR="00FD1B92" w:rsidRDefault="00FD1B92">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8B" w:rsidRDefault="00DA4C8B">
    <w:pPr>
      <w:pBdr>
        <w:top w:val="nil"/>
        <w:left w:val="nil"/>
        <w:bottom w:val="nil"/>
        <w:right w:val="nil"/>
        <w:between w:val="nil"/>
      </w:pBdr>
      <w:tabs>
        <w:tab w:val="center" w:pos="4513"/>
        <w:tab w:val="right" w:pos="9026"/>
      </w:tabs>
      <w:spacing w:line="240" w:lineRule="auto"/>
      <w:ind w:left="0" w:hanging="2"/>
      <w:jc w:val="center"/>
      <w:rPr>
        <w:rFonts w:ascii="Century Gothic" w:eastAsia="Century Gothic" w:hAnsi="Century Gothic" w:cs="Century Gothic"/>
        <w:color w:val="999999"/>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B92" w:rsidRDefault="00FD1B92">
      <w:pPr>
        <w:spacing w:line="240" w:lineRule="auto"/>
        <w:ind w:left="0" w:hanging="2"/>
      </w:pPr>
      <w:r>
        <w:separator/>
      </w:r>
    </w:p>
  </w:footnote>
  <w:footnote w:type="continuationSeparator" w:id="1">
    <w:p w:rsidR="00FD1B92" w:rsidRDefault="00FD1B92">
      <w:pPr>
        <w:spacing w:line="240" w:lineRule="auto"/>
        <w:ind w:left="0" w:hanging="2"/>
      </w:pPr>
      <w:r>
        <w:continuationSeparator/>
      </w:r>
    </w:p>
  </w:footnote>
  <w:footnote w:id="2">
    <w:p w:rsidR="00DA4C8B" w:rsidRDefault="00B876F3">
      <w:pPr>
        <w:ind w:left="0" w:hanging="2"/>
        <w:rPr>
          <w:rFonts w:ascii="Arial" w:eastAsia="Arial" w:hAnsi="Arial" w:cs="Arial"/>
          <w:sz w:val="16"/>
          <w:szCs w:val="16"/>
        </w:rPr>
      </w:pPr>
      <w:r>
        <w:rPr>
          <w:vertAlign w:val="superscript"/>
        </w:rPr>
        <w:footnoteRef/>
      </w:r>
      <w:r>
        <w:rPr>
          <w:rFonts w:ascii="Arial" w:eastAsia="Arial" w:hAnsi="Arial" w:cs="Arial"/>
          <w:sz w:val="14"/>
          <w:szCs w:val="14"/>
        </w:rPr>
        <w:t xml:space="preserve">Narain, P.J. (2016). Public Health Challenges in India: Seizing the Opportunities. </w:t>
      </w:r>
      <w:r>
        <w:rPr>
          <w:rFonts w:ascii="Arial" w:eastAsia="Arial" w:hAnsi="Arial" w:cs="Arial"/>
          <w:i/>
          <w:sz w:val="14"/>
          <w:szCs w:val="14"/>
        </w:rPr>
        <w:t>Indian Journal of Community Medicine, 41(2): 85-88</w:t>
      </w:r>
      <w:r>
        <w:rPr>
          <w:rFonts w:ascii="Arial" w:eastAsia="Arial" w:hAnsi="Arial" w:cs="Arial"/>
          <w:sz w:val="14"/>
          <w:szCs w:val="14"/>
        </w:rPr>
        <w:t xml:space="preserve">. Retrieved from </w:t>
      </w:r>
      <w:hyperlink r:id="rId1">
        <w:r>
          <w:rPr>
            <w:rFonts w:ascii="Arial" w:eastAsia="Arial" w:hAnsi="Arial" w:cs="Arial"/>
            <w:color w:val="1155CC"/>
            <w:sz w:val="14"/>
            <w:szCs w:val="14"/>
            <w:u w:val="single"/>
          </w:rPr>
          <w:t>https://www.ncbi.nlm.nih.gov/pmc/articles/PMC4799645/</w:t>
        </w:r>
      </w:hyperlink>
    </w:p>
  </w:footnote>
  <w:footnote w:id="3">
    <w:p w:rsidR="00DA4C8B" w:rsidRDefault="00B876F3">
      <w:pPr>
        <w:ind w:left="0" w:hanging="2"/>
        <w:rPr>
          <w:sz w:val="20"/>
          <w:szCs w:val="20"/>
        </w:rPr>
      </w:pPr>
      <w:r>
        <w:rPr>
          <w:vertAlign w:val="superscript"/>
        </w:rPr>
        <w:footnoteRef/>
      </w:r>
      <w:r>
        <w:rPr>
          <w:rFonts w:ascii="Arial" w:eastAsia="Arial" w:hAnsi="Arial" w:cs="Arial"/>
          <w:i/>
          <w:sz w:val="14"/>
          <w:szCs w:val="14"/>
        </w:rPr>
        <w:t>United Nations Population Division, 2020</w:t>
      </w:r>
    </w:p>
  </w:footnote>
  <w:footnote w:id="4">
    <w:p w:rsidR="00DA4C8B" w:rsidRDefault="00B876F3">
      <w:pPr>
        <w:ind w:left="0" w:hanging="2"/>
        <w:rPr>
          <w:sz w:val="20"/>
          <w:szCs w:val="20"/>
        </w:rPr>
      </w:pPr>
      <w:r>
        <w:rPr>
          <w:vertAlign w:val="superscript"/>
        </w:rPr>
        <w:footnoteRef/>
      </w:r>
      <w:hyperlink r:id="rId2">
        <w:r>
          <w:rPr>
            <w:rFonts w:ascii="Arial" w:eastAsia="Arial" w:hAnsi="Arial" w:cs="Arial"/>
            <w:color w:val="1155CC"/>
            <w:sz w:val="14"/>
            <w:szCs w:val="14"/>
            <w:u w:val="single"/>
          </w:rPr>
          <w:t>Report of the Joint Monitoring Mission: Revised National Tuberculosis Control Programme</w:t>
        </w:r>
      </w:hyperlink>
      <w:r>
        <w:rPr>
          <w:rFonts w:ascii="Arial" w:eastAsia="Arial" w:hAnsi="Arial" w:cs="Arial"/>
          <w:sz w:val="14"/>
          <w:szCs w:val="14"/>
        </w:rPr>
        <w:t>, November 2019. New Delhi: World HealthOrganization, Country Office for India; 2020. Licence: CC BY-NC-SA 3.0 IGO.</w:t>
      </w:r>
    </w:p>
  </w:footnote>
  <w:footnote w:id="5">
    <w:p w:rsidR="00DA4C8B" w:rsidRDefault="00B876F3">
      <w:pPr>
        <w:ind w:left="0" w:hanging="2"/>
        <w:rPr>
          <w:sz w:val="14"/>
          <w:szCs w:val="14"/>
        </w:rPr>
      </w:pPr>
      <w:r>
        <w:rPr>
          <w:vertAlign w:val="superscript"/>
        </w:rPr>
        <w:footnoteRef/>
      </w:r>
      <w:r>
        <w:rPr>
          <w:sz w:val="14"/>
          <w:szCs w:val="14"/>
        </w:rPr>
        <w:t>7Mathew, S. (2020). State Capacity by Design, enabling officials to succeed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8B" w:rsidRDefault="00DA4C8B">
    <w:pPr>
      <w:pBdr>
        <w:top w:val="nil"/>
        <w:left w:val="nil"/>
        <w:bottom w:val="nil"/>
        <w:right w:val="nil"/>
        <w:between w:val="nil"/>
      </w:pBdr>
      <w:tabs>
        <w:tab w:val="center" w:pos="4513"/>
        <w:tab w:val="right" w:pos="9026"/>
      </w:tabs>
      <w:spacing w:line="240" w:lineRule="auto"/>
      <w:ind w:left="0" w:hanging="2"/>
      <w:rPr>
        <w:rFonts w:ascii="Times New Roman" w:eastAsia="Times New Roman" w:hAnsi="Times New Roman" w:cs="Times New Roman"/>
        <w:color w:val="000000"/>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7F2"/>
    <w:multiLevelType w:val="multilevel"/>
    <w:tmpl w:val="08E461A6"/>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nsid w:val="0F4D2307"/>
    <w:multiLevelType w:val="multilevel"/>
    <w:tmpl w:val="051435B0"/>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nsid w:val="110F1A37"/>
    <w:multiLevelType w:val="multilevel"/>
    <w:tmpl w:val="C01A3594"/>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nsid w:val="1AD930A4"/>
    <w:multiLevelType w:val="multilevel"/>
    <w:tmpl w:val="8CE4B3C6"/>
    <w:lvl w:ilvl="0">
      <w:start w:val="1"/>
      <w:numFmt w:val="bullet"/>
      <w:lvlText w:val="●"/>
      <w:lvlJc w:val="left"/>
      <w:pPr>
        <w:ind w:left="720" w:hanging="36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nsid w:val="27A927A4"/>
    <w:multiLevelType w:val="multilevel"/>
    <w:tmpl w:val="F4B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D5D95"/>
    <w:multiLevelType w:val="multilevel"/>
    <w:tmpl w:val="F3CC6EC4"/>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6">
    <w:nsid w:val="3F6C517A"/>
    <w:multiLevelType w:val="multilevel"/>
    <w:tmpl w:val="041A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80313"/>
    <w:multiLevelType w:val="multilevel"/>
    <w:tmpl w:val="585C2A24"/>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8">
    <w:nsid w:val="58F86DA1"/>
    <w:multiLevelType w:val="multilevel"/>
    <w:tmpl w:val="254EAED8"/>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nsid w:val="5CAC7623"/>
    <w:multiLevelType w:val="multilevel"/>
    <w:tmpl w:val="C8F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135A89"/>
    <w:multiLevelType w:val="multilevel"/>
    <w:tmpl w:val="E9D062A6"/>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nsid w:val="6C357844"/>
    <w:multiLevelType w:val="multilevel"/>
    <w:tmpl w:val="206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6A674A"/>
    <w:multiLevelType w:val="multilevel"/>
    <w:tmpl w:val="AE186882"/>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nsid w:val="7794327C"/>
    <w:multiLevelType w:val="multilevel"/>
    <w:tmpl w:val="E0BAC3E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1709F2"/>
    <w:multiLevelType w:val="multilevel"/>
    <w:tmpl w:val="5AB2CC8E"/>
    <w:lvl w:ilvl="0">
      <w:start w:val="1"/>
      <w:numFmt w:val="bullet"/>
      <w:lvlText w:val="●"/>
      <w:lvlJc w:val="left"/>
      <w:pPr>
        <w:ind w:left="720" w:hanging="36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5">
    <w:nsid w:val="7E3D3152"/>
    <w:multiLevelType w:val="multilevel"/>
    <w:tmpl w:val="A9F46C6C"/>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3"/>
  </w:num>
  <w:num w:numId="2">
    <w:abstractNumId w:val="2"/>
  </w:num>
  <w:num w:numId="3">
    <w:abstractNumId w:val="10"/>
  </w:num>
  <w:num w:numId="4">
    <w:abstractNumId w:val="0"/>
  </w:num>
  <w:num w:numId="5">
    <w:abstractNumId w:val="5"/>
  </w:num>
  <w:num w:numId="6">
    <w:abstractNumId w:val="12"/>
  </w:num>
  <w:num w:numId="7">
    <w:abstractNumId w:val="8"/>
  </w:num>
  <w:num w:numId="8">
    <w:abstractNumId w:val="1"/>
  </w:num>
  <w:num w:numId="9">
    <w:abstractNumId w:val="13"/>
  </w:num>
  <w:num w:numId="10">
    <w:abstractNumId w:val="7"/>
  </w:num>
  <w:num w:numId="11">
    <w:abstractNumId w:val="15"/>
  </w:num>
  <w:num w:numId="12">
    <w:abstractNumId w:val="14"/>
  </w:num>
  <w:num w:numId="13">
    <w:abstractNumId w:val="9"/>
  </w:num>
  <w:num w:numId="14">
    <w:abstractNumId w:val="6"/>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DA4C8B"/>
    <w:rsid w:val="001856DD"/>
    <w:rsid w:val="002A6BEC"/>
    <w:rsid w:val="003C7E31"/>
    <w:rsid w:val="007341D6"/>
    <w:rsid w:val="00B876F3"/>
    <w:rsid w:val="00CF6FA1"/>
    <w:rsid w:val="00DA4C8B"/>
    <w:rsid w:val="00FD1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Book Antiqua" w:hAnsi="Book Antiqua" w:cs="Book Antiqu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styleId="Heading1">
    <w:name w:val="heading 1"/>
    <w:basedOn w:val="Normal"/>
    <w:next w:val="Normal"/>
    <w:uiPriority w:val="9"/>
    <w:qFormat/>
    <w:rsid w:val="003C7E31"/>
    <w:pPr>
      <w:keepNext/>
      <w:spacing w:before="240" w:after="60"/>
    </w:pPr>
    <w:rPr>
      <w:rFonts w:ascii="Arial" w:hAnsi="Arial"/>
      <w:b/>
      <w:bCs/>
      <w:kern w:val="32"/>
      <w:sz w:val="32"/>
      <w:szCs w:val="32"/>
    </w:rPr>
  </w:style>
  <w:style w:type="paragraph" w:styleId="Heading2">
    <w:name w:val="heading 2"/>
    <w:basedOn w:val="Normal"/>
    <w:next w:val="Normal"/>
    <w:uiPriority w:val="9"/>
    <w:semiHidden/>
    <w:unhideWhenUsed/>
    <w:qFormat/>
    <w:rsid w:val="003C7E3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semiHidden/>
    <w:unhideWhenUsed/>
    <w:qFormat/>
    <w:rsid w:val="003C7E3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C7E3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C7E31"/>
    <w:pPr>
      <w:spacing w:before="240" w:after="60"/>
      <w:outlineLvl w:val="4"/>
    </w:pPr>
    <w:rPr>
      <w:rFonts w:ascii="Calibri" w:eastAsia="Times New Roman" w:hAnsi="Calibri"/>
      <w:b/>
      <w:bCs/>
      <w:i/>
      <w:iCs/>
      <w:sz w:val="26"/>
      <w:szCs w:val="26"/>
    </w:rPr>
  </w:style>
  <w:style w:type="paragraph" w:styleId="Heading6">
    <w:name w:val="heading 6"/>
    <w:basedOn w:val="Normal"/>
    <w:next w:val="Normal"/>
    <w:uiPriority w:val="9"/>
    <w:semiHidden/>
    <w:unhideWhenUsed/>
    <w:qFormat/>
    <w:rsid w:val="003C7E31"/>
    <w:pPr>
      <w:keepNext/>
      <w:keepLines/>
      <w:spacing w:before="200" w:after="40"/>
      <w:outlineLvl w:val="5"/>
    </w:pPr>
    <w:rPr>
      <w:b/>
      <w:sz w:val="20"/>
      <w:szCs w:val="20"/>
    </w:rPr>
  </w:style>
  <w:style w:type="paragraph" w:styleId="Heading8">
    <w:name w:val="heading 8"/>
    <w:basedOn w:val="Normal"/>
    <w:next w:val="Normal"/>
    <w:rsid w:val="003C7E31"/>
    <w:pPr>
      <w:keepNext/>
      <w:jc w:val="center"/>
      <w:outlineLvl w:val="7"/>
    </w:pPr>
    <w:rPr>
      <w:rFonts w:eastAsia="Times New Roman"/>
      <w:b/>
      <w:color w:val="FFF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sid w:val="003C7E31"/>
    <w:pPr>
      <w:tabs>
        <w:tab w:val="left" w:pos="0"/>
      </w:tabs>
      <w:suppressAutoHyphens/>
      <w:spacing w:line="240" w:lineRule="atLeast"/>
      <w:ind w:leftChars="-1" w:left="-1" w:hangingChars="1" w:hanging="1"/>
      <w:jc w:val="center"/>
      <w:textDirection w:val="btLr"/>
      <w:textAlignment w:val="top"/>
      <w:outlineLvl w:val="0"/>
    </w:pPr>
    <w:rPr>
      <w:rFonts w:ascii="Arial" w:hAnsi="Arial"/>
      <w:b/>
      <w:bCs/>
      <w:position w:val="-1"/>
      <w:sz w:val="28"/>
      <w:szCs w:val="24"/>
      <w:lang w:eastAsia="es-CL"/>
    </w:rPr>
  </w:style>
  <w:style w:type="character" w:styleId="Hyperlink">
    <w:name w:val="Hyperlink"/>
    <w:rsid w:val="003C7E31"/>
    <w:rPr>
      <w:rFonts w:ascii="Verdana" w:hAnsi="Verdana" w:hint="default"/>
      <w:b/>
      <w:bCs/>
      <w:color w:val="000080"/>
      <w:w w:val="100"/>
      <w:position w:val="-1"/>
      <w:sz w:val="20"/>
      <w:szCs w:val="20"/>
      <w:u w:val="none"/>
      <w:effect w:val="none"/>
      <w:vertAlign w:val="baseline"/>
      <w:cs w:val="0"/>
      <w:em w:val="none"/>
    </w:rPr>
  </w:style>
  <w:style w:type="character" w:styleId="Emphasis">
    <w:name w:val="Emphasis"/>
    <w:rsid w:val="003C7E31"/>
    <w:rPr>
      <w:i/>
      <w:iCs/>
      <w:w w:val="100"/>
      <w:position w:val="-1"/>
      <w:effect w:val="none"/>
      <w:vertAlign w:val="baseline"/>
      <w:cs w:val="0"/>
      <w:em w:val="none"/>
    </w:rPr>
  </w:style>
  <w:style w:type="character" w:customStyle="1" w:styleId="Heading5Char">
    <w:name w:val="Heading 5 Char"/>
    <w:rsid w:val="003C7E31"/>
    <w:rPr>
      <w:rFonts w:ascii="Calibri" w:hAnsi="Calibri"/>
      <w:b/>
      <w:bCs/>
      <w:i/>
      <w:iCs/>
      <w:w w:val="100"/>
      <w:position w:val="-1"/>
      <w:sz w:val="26"/>
      <w:szCs w:val="26"/>
      <w:effect w:val="none"/>
      <w:vertAlign w:val="baseline"/>
      <w:cs w:val="0"/>
      <w:em w:val="none"/>
      <w:lang w:val="en-US" w:eastAsia="en-US"/>
    </w:rPr>
  </w:style>
  <w:style w:type="character" w:customStyle="1" w:styleId="Heading8Char">
    <w:name w:val="Heading 8 Char"/>
    <w:rsid w:val="003C7E31"/>
    <w:rPr>
      <w:rFonts w:ascii="Book Antiqua" w:hAnsi="Book Antiqua"/>
      <w:b/>
      <w:color w:val="FFFFFF"/>
      <w:w w:val="100"/>
      <w:position w:val="-1"/>
      <w:sz w:val="24"/>
      <w:szCs w:val="24"/>
      <w:effect w:val="none"/>
      <w:vertAlign w:val="baseline"/>
      <w:cs w:val="0"/>
      <w:em w:val="none"/>
      <w:lang w:val="en-US" w:eastAsia="en-US"/>
    </w:rPr>
  </w:style>
  <w:style w:type="paragraph" w:styleId="Header">
    <w:name w:val="header"/>
    <w:basedOn w:val="Normal"/>
    <w:rsid w:val="003C7E31"/>
    <w:pPr>
      <w:tabs>
        <w:tab w:val="center" w:pos="4513"/>
        <w:tab w:val="right" w:pos="9026"/>
      </w:tabs>
    </w:pPr>
    <w:rPr>
      <w:rFonts w:ascii="Times New Roman" w:eastAsia="Times New Roman" w:hAnsi="Times New Roman"/>
      <w:sz w:val="24"/>
      <w:szCs w:val="24"/>
    </w:rPr>
  </w:style>
  <w:style w:type="character" w:customStyle="1" w:styleId="HeaderChar">
    <w:name w:val="Header Char"/>
    <w:rsid w:val="003C7E31"/>
    <w:rPr>
      <w:w w:val="100"/>
      <w:position w:val="-1"/>
      <w:sz w:val="24"/>
      <w:szCs w:val="24"/>
      <w:effect w:val="none"/>
      <w:vertAlign w:val="baseline"/>
      <w:cs w:val="0"/>
      <w:em w:val="none"/>
      <w:lang w:val="en-US" w:eastAsia="en-US"/>
    </w:rPr>
  </w:style>
  <w:style w:type="paragraph" w:styleId="Footer">
    <w:name w:val="footer"/>
    <w:basedOn w:val="Normal"/>
    <w:rsid w:val="003C7E31"/>
    <w:pPr>
      <w:tabs>
        <w:tab w:val="center" w:pos="4513"/>
        <w:tab w:val="right" w:pos="9026"/>
      </w:tabs>
    </w:pPr>
    <w:rPr>
      <w:rFonts w:ascii="Times New Roman" w:eastAsia="Times New Roman" w:hAnsi="Times New Roman"/>
      <w:sz w:val="24"/>
      <w:szCs w:val="24"/>
    </w:rPr>
  </w:style>
  <w:style w:type="character" w:customStyle="1" w:styleId="FooterChar">
    <w:name w:val="Footer Char"/>
    <w:rsid w:val="003C7E31"/>
    <w:rPr>
      <w:w w:val="100"/>
      <w:position w:val="-1"/>
      <w:sz w:val="24"/>
      <w:szCs w:val="24"/>
      <w:effect w:val="none"/>
      <w:vertAlign w:val="baseline"/>
      <w:cs w:val="0"/>
      <w:em w:val="none"/>
      <w:lang w:val="en-US" w:eastAsia="en-US"/>
    </w:rPr>
  </w:style>
  <w:style w:type="table" w:styleId="TableGrid">
    <w:name w:val="Table Grid"/>
    <w:basedOn w:val="TableNormal"/>
    <w:rsid w:val="003C7E31"/>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1-Accent4">
    <w:name w:val="Medium Grid 1 Accent 4"/>
    <w:basedOn w:val="TableNormal"/>
    <w:rsid w:val="003C7E31"/>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ColourfulGridAccent5">
    <w:name w:val="Colourful Grid – Accent 5"/>
    <w:basedOn w:val="TableNormal"/>
    <w:rsid w:val="003C7E31"/>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style>
  <w:style w:type="paragraph" w:customStyle="1" w:styleId="MediumGrid1-Accent21">
    <w:name w:val="Medium Grid 1 - Accent 21"/>
    <w:basedOn w:val="Normal"/>
    <w:rsid w:val="003C7E31"/>
    <w:pPr>
      <w:spacing w:after="200" w:line="276" w:lineRule="auto"/>
      <w:ind w:left="720"/>
      <w:contextualSpacing/>
    </w:pPr>
    <w:rPr>
      <w:rFonts w:ascii="Calibri" w:eastAsia="Calibri" w:hAnsi="Calibri"/>
      <w:lang w:val="en-IN"/>
    </w:rPr>
  </w:style>
  <w:style w:type="paragraph" w:styleId="BalloonText">
    <w:name w:val="Balloon Text"/>
    <w:basedOn w:val="Normal"/>
    <w:rsid w:val="003C7E31"/>
    <w:rPr>
      <w:rFonts w:ascii="Tahoma" w:eastAsia="Times New Roman" w:hAnsi="Tahoma"/>
      <w:sz w:val="16"/>
      <w:szCs w:val="16"/>
    </w:rPr>
  </w:style>
  <w:style w:type="character" w:customStyle="1" w:styleId="BalloonTextChar">
    <w:name w:val="Balloon Text Char"/>
    <w:rsid w:val="003C7E31"/>
    <w:rPr>
      <w:rFonts w:ascii="Tahoma" w:hAnsi="Tahoma" w:cs="Tahoma"/>
      <w:w w:val="100"/>
      <w:position w:val="-1"/>
      <w:sz w:val="16"/>
      <w:szCs w:val="16"/>
      <w:effect w:val="none"/>
      <w:vertAlign w:val="baseline"/>
      <w:cs w:val="0"/>
      <w:em w:val="none"/>
      <w:lang w:val="en-US" w:eastAsia="en-US"/>
    </w:rPr>
  </w:style>
  <w:style w:type="character" w:styleId="CommentReference">
    <w:name w:val="annotation reference"/>
    <w:rsid w:val="003C7E31"/>
    <w:rPr>
      <w:w w:val="100"/>
      <w:position w:val="-1"/>
      <w:sz w:val="16"/>
      <w:szCs w:val="16"/>
      <w:effect w:val="none"/>
      <w:vertAlign w:val="baseline"/>
      <w:cs w:val="0"/>
      <w:em w:val="none"/>
    </w:rPr>
  </w:style>
  <w:style w:type="paragraph" w:styleId="CommentText">
    <w:name w:val="annotation text"/>
    <w:basedOn w:val="Normal"/>
    <w:rsid w:val="003C7E31"/>
    <w:rPr>
      <w:sz w:val="20"/>
      <w:szCs w:val="20"/>
    </w:rPr>
  </w:style>
  <w:style w:type="paragraph" w:styleId="CommentSubject">
    <w:name w:val="annotation subject"/>
    <w:basedOn w:val="CommentText"/>
    <w:next w:val="CommentText"/>
    <w:rsid w:val="003C7E31"/>
    <w:rPr>
      <w:b/>
      <w:bCs/>
    </w:rPr>
  </w:style>
  <w:style w:type="paragraph" w:customStyle="1" w:styleId="Default">
    <w:name w:val="Default"/>
    <w:rsid w:val="003C7E31"/>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rPr>
  </w:style>
  <w:style w:type="character" w:customStyle="1" w:styleId="Heading1Char">
    <w:name w:val="Heading 1 Char"/>
    <w:rsid w:val="003C7E31"/>
    <w:rPr>
      <w:rFonts w:ascii="Arial" w:eastAsia="SimSun" w:hAnsi="Arial" w:cs="Arial"/>
      <w:b/>
      <w:bCs/>
      <w:w w:val="100"/>
      <w:kern w:val="32"/>
      <w:position w:val="-1"/>
      <w:sz w:val="32"/>
      <w:szCs w:val="32"/>
      <w:effect w:val="none"/>
      <w:vertAlign w:val="baseline"/>
      <w:cs w:val="0"/>
      <w:em w:val="none"/>
      <w:lang w:eastAsia="zh-CN"/>
    </w:rPr>
  </w:style>
  <w:style w:type="paragraph" w:customStyle="1" w:styleId="MediumList2-Accent21">
    <w:name w:val="Medium List 2 - Accent 2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character" w:customStyle="1" w:styleId="apple-converted-space">
    <w:name w:val="apple-converted-space"/>
    <w:basedOn w:val="DefaultParagraphFont"/>
    <w:rsid w:val="003C7E31"/>
    <w:rPr>
      <w:w w:val="100"/>
      <w:position w:val="-1"/>
      <w:effect w:val="none"/>
      <w:vertAlign w:val="baseline"/>
      <w:cs w:val="0"/>
      <w:em w:val="none"/>
    </w:rPr>
  </w:style>
  <w:style w:type="character" w:customStyle="1" w:styleId="hoenzb">
    <w:name w:val="hoenzb"/>
    <w:basedOn w:val="DefaultParagraphFont"/>
    <w:rsid w:val="003C7E31"/>
    <w:rPr>
      <w:w w:val="100"/>
      <w:position w:val="-1"/>
      <w:effect w:val="none"/>
      <w:vertAlign w:val="baseline"/>
      <w:cs w:val="0"/>
      <w:em w:val="none"/>
    </w:rPr>
  </w:style>
  <w:style w:type="paragraph" w:styleId="BodyText">
    <w:name w:val="Body Text"/>
    <w:basedOn w:val="Normal"/>
    <w:rsid w:val="003C7E31"/>
    <w:pPr>
      <w:ind w:left="187" w:right="187"/>
    </w:pPr>
    <w:rPr>
      <w:rFonts w:ascii="Arial" w:eastAsia="Times New Roman" w:hAnsi="Arial"/>
      <w:color w:val="0F243E"/>
      <w:sz w:val="16"/>
      <w:szCs w:val="20"/>
    </w:rPr>
  </w:style>
  <w:style w:type="character" w:customStyle="1" w:styleId="BodyTextChar">
    <w:name w:val="Body Text Char"/>
    <w:rsid w:val="003C7E31"/>
    <w:rPr>
      <w:rFonts w:ascii="Arial" w:hAnsi="Arial"/>
      <w:color w:val="0F243E"/>
      <w:w w:val="100"/>
      <w:position w:val="-1"/>
      <w:sz w:val="16"/>
      <w:effect w:val="none"/>
      <w:vertAlign w:val="baseline"/>
      <w:cs w:val="0"/>
      <w:em w:val="none"/>
    </w:rPr>
  </w:style>
  <w:style w:type="character" w:customStyle="1" w:styleId="Heading2Char">
    <w:name w:val="Heading 2 Char"/>
    <w:rsid w:val="003C7E31"/>
    <w:rPr>
      <w:rFonts w:ascii="Cambria" w:eastAsia="Times New Roman" w:hAnsi="Cambria" w:cs="Times New Roman"/>
      <w:b/>
      <w:bCs/>
      <w:i/>
      <w:iCs/>
      <w:w w:val="100"/>
      <w:position w:val="-1"/>
      <w:sz w:val="28"/>
      <w:szCs w:val="28"/>
      <w:effect w:val="none"/>
      <w:vertAlign w:val="baseline"/>
      <w:cs w:val="0"/>
      <w:em w:val="none"/>
      <w:lang w:eastAsia="zh-CN"/>
    </w:rPr>
  </w:style>
  <w:style w:type="character" w:customStyle="1" w:styleId="CommentTextChar">
    <w:name w:val="Comment Text Char"/>
    <w:rsid w:val="003C7E31"/>
    <w:rPr>
      <w:rFonts w:ascii="Book Antiqua" w:eastAsia="SimSun" w:hAnsi="Book Antiqua"/>
      <w:w w:val="100"/>
      <w:position w:val="-1"/>
      <w:effect w:val="none"/>
      <w:vertAlign w:val="baseline"/>
      <w:cs w:val="0"/>
      <w:em w:val="none"/>
      <w:lang w:eastAsia="zh-CN"/>
    </w:rPr>
  </w:style>
  <w:style w:type="character" w:customStyle="1" w:styleId="il">
    <w:name w:val="il"/>
    <w:basedOn w:val="DefaultParagraphFont"/>
    <w:rsid w:val="003C7E31"/>
    <w:rPr>
      <w:w w:val="100"/>
      <w:position w:val="-1"/>
      <w:effect w:val="none"/>
      <w:vertAlign w:val="baseline"/>
      <w:cs w:val="0"/>
      <w:em w:val="none"/>
    </w:rPr>
  </w:style>
  <w:style w:type="paragraph" w:customStyle="1" w:styleId="TableTextLeft">
    <w:name w:val="Table Text Left"/>
    <w:basedOn w:val="Normal"/>
    <w:rsid w:val="003C7E31"/>
    <w:pPr>
      <w:contextualSpacing/>
    </w:pPr>
    <w:rPr>
      <w:rFonts w:ascii="Arial" w:eastAsia="Times New Roman" w:hAnsi="Arial" w:cs="Arial"/>
      <w:sz w:val="16"/>
      <w:szCs w:val="16"/>
      <w:lang w:val="fr-FR"/>
    </w:rPr>
  </w:style>
  <w:style w:type="character" w:customStyle="1" w:styleId="TitleChar">
    <w:name w:val="Title Char"/>
    <w:rsid w:val="003C7E31"/>
    <w:rPr>
      <w:rFonts w:ascii="Arial" w:hAnsi="Arial"/>
      <w:b/>
      <w:bCs/>
      <w:w w:val="100"/>
      <w:position w:val="-1"/>
      <w:sz w:val="28"/>
      <w:szCs w:val="24"/>
      <w:effect w:val="none"/>
      <w:vertAlign w:val="baseline"/>
      <w:cs w:val="0"/>
      <w:em w:val="none"/>
      <w:lang w:val="en-US" w:eastAsia="es-CL" w:bidi="ar-SA"/>
    </w:rPr>
  </w:style>
  <w:style w:type="paragraph" w:customStyle="1" w:styleId="Author">
    <w:name w:val="Author"/>
    <w:basedOn w:val="Title"/>
    <w:rsid w:val="003C7E31"/>
    <w:rPr>
      <w:b w:val="0"/>
      <w:bCs w:val="0"/>
      <w:i/>
      <w:iCs/>
      <w:sz w:val="24"/>
    </w:rPr>
  </w:style>
  <w:style w:type="paragraph" w:customStyle="1" w:styleId="Puesto7">
    <w:name w:val="Puesto7"/>
    <w:basedOn w:val="Title"/>
    <w:rsid w:val="003C7E31"/>
  </w:style>
  <w:style w:type="paragraph" w:styleId="TOC1">
    <w:name w:val="toc 1"/>
    <w:basedOn w:val="Normal"/>
    <w:next w:val="Normal"/>
    <w:qFormat/>
    <w:rsid w:val="003C7E31"/>
    <w:pPr>
      <w:spacing w:before="120" w:after="120"/>
      <w:ind w:firstLine="720"/>
      <w:jc w:val="both"/>
    </w:pPr>
    <w:rPr>
      <w:rFonts w:ascii="Times New Roman" w:eastAsia="Times New Roman" w:hAnsi="Times New Roman"/>
      <w:sz w:val="24"/>
      <w:szCs w:val="24"/>
    </w:rPr>
  </w:style>
  <w:style w:type="paragraph" w:styleId="TOC2">
    <w:name w:val="toc 2"/>
    <w:basedOn w:val="Normal"/>
    <w:next w:val="Normal"/>
    <w:qFormat/>
    <w:rsid w:val="003C7E31"/>
    <w:pPr>
      <w:spacing w:before="120" w:after="120"/>
      <w:ind w:left="240" w:firstLine="720"/>
      <w:jc w:val="both"/>
    </w:pPr>
    <w:rPr>
      <w:rFonts w:ascii="Times New Roman" w:eastAsia="Times New Roman" w:hAnsi="Times New Roman"/>
      <w:sz w:val="24"/>
      <w:szCs w:val="24"/>
    </w:rPr>
  </w:style>
  <w:style w:type="paragraph" w:customStyle="1" w:styleId="Caption1">
    <w:name w:val="Caption1"/>
    <w:aliases w:val="Car Car"/>
    <w:next w:val="Normal"/>
    <w:rsid w:val="003C7E31"/>
    <w:pPr>
      <w:keepNext/>
      <w:suppressAutoHyphens/>
      <w:spacing w:before="120" w:line="240" w:lineRule="atLeast"/>
      <w:ind w:leftChars="-1" w:left="-1" w:hangingChars="1" w:hanging="1"/>
      <w:jc w:val="center"/>
      <w:textDirection w:val="btLr"/>
      <w:textAlignment w:val="top"/>
      <w:outlineLvl w:val="0"/>
    </w:pPr>
    <w:rPr>
      <w:rFonts w:ascii="Arial" w:hAnsi="Arial"/>
      <w:b/>
      <w:position w:val="-1"/>
      <w:sz w:val="18"/>
      <w:szCs w:val="18"/>
      <w:lang w:val="es-ES"/>
    </w:rPr>
  </w:style>
  <w:style w:type="paragraph" w:customStyle="1" w:styleId="Descripcin7">
    <w:name w:val="Descripción7"/>
    <w:basedOn w:val="Normal"/>
    <w:rsid w:val="003C7E31"/>
    <w:pPr>
      <w:spacing w:before="120"/>
      <w:jc w:val="center"/>
    </w:pPr>
    <w:rPr>
      <w:rFonts w:ascii="Arial" w:eastAsia="Times New Roman" w:hAnsi="Arial" w:cs="Arial"/>
      <w:b/>
      <w:color w:val="000000"/>
      <w:sz w:val="18"/>
      <w:szCs w:val="18"/>
    </w:rPr>
  </w:style>
  <w:style w:type="paragraph" w:customStyle="1" w:styleId="Figure">
    <w:name w:val="Figure"/>
    <w:basedOn w:val="Normal"/>
    <w:rsid w:val="003C7E31"/>
    <w:pPr>
      <w:suppressAutoHyphens w:val="0"/>
      <w:autoSpaceDE w:val="0"/>
      <w:autoSpaceDN w:val="0"/>
      <w:adjustRightInd w:val="0"/>
      <w:spacing w:before="20" w:after="60"/>
      <w:jc w:val="center"/>
    </w:pPr>
    <w:rPr>
      <w:rFonts w:ascii="Times New Roman" w:eastAsia="Times New Roman" w:hAnsi="Times New Roman" w:cs="Mangal"/>
      <w:bCs/>
      <w:noProof/>
      <w:kern w:val="1"/>
      <w:sz w:val="24"/>
      <w:szCs w:val="24"/>
      <w:lang w:bidi="hi-IN"/>
    </w:rPr>
  </w:style>
  <w:style w:type="paragraph" w:customStyle="1" w:styleId="Descripcin4">
    <w:name w:val="Descripción4"/>
    <w:basedOn w:val="Caption1"/>
    <w:rsid w:val="003C7E31"/>
    <w:rPr>
      <w:lang w:val="en-US"/>
    </w:rPr>
  </w:style>
  <w:style w:type="paragraph" w:styleId="NormalWeb">
    <w:name w:val="Normal (Web)"/>
    <w:basedOn w:val="Normal"/>
    <w:uiPriority w:val="99"/>
    <w:qFormat/>
    <w:rsid w:val="003C7E31"/>
    <w:pPr>
      <w:spacing w:before="100" w:beforeAutospacing="1" w:after="100" w:afterAutospacing="1"/>
    </w:pPr>
    <w:rPr>
      <w:rFonts w:ascii="Times New Roman" w:eastAsia="Times New Roman" w:hAnsi="Times New Roman"/>
      <w:sz w:val="24"/>
      <w:szCs w:val="24"/>
    </w:rPr>
  </w:style>
  <w:style w:type="character" w:customStyle="1" w:styleId="MediumGrid1-Accent2Char">
    <w:name w:val="Medium Grid 1 - Accent 2 Char"/>
    <w:rsid w:val="003C7E31"/>
    <w:rPr>
      <w:rFonts w:ascii="Calibri" w:eastAsia="Calibri" w:hAnsi="Calibri"/>
      <w:w w:val="100"/>
      <w:position w:val="-1"/>
      <w:sz w:val="22"/>
      <w:szCs w:val="22"/>
      <w:effect w:val="none"/>
      <w:vertAlign w:val="baseline"/>
      <w:cs w:val="0"/>
      <w:em w:val="none"/>
      <w:lang w:val="en-IN" w:eastAsia="zh-CN"/>
    </w:rPr>
  </w:style>
  <w:style w:type="table" w:customStyle="1" w:styleId="ColourfulShadingAccent5">
    <w:name w:val="Colourful Shading – Accent 5"/>
    <w:basedOn w:val="TableNormal"/>
    <w:rsid w:val="003C7E31"/>
    <w:pPr>
      <w:suppressAutoHyphens/>
      <w:spacing w:line="1" w:lineRule="atLeast"/>
      <w:ind w:leftChars="-1" w:left="-1" w:hangingChars="1" w:hanging="1"/>
      <w:textDirection w:val="btLr"/>
      <w:textAlignment w:val="top"/>
      <w:outlineLvl w:val="0"/>
    </w:pPr>
    <w:rPr>
      <w:position w:val="-1"/>
      <w:lang w:val="en-GB" w:eastAsia="en-GB"/>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IntenseReference1">
    <w:name w:val="Intense Reference1"/>
    <w:basedOn w:val="TableNormal"/>
    <w:rsid w:val="003C7E31"/>
    <w:pPr>
      <w:suppressAutoHyphens/>
      <w:spacing w:line="1" w:lineRule="atLeast"/>
      <w:ind w:leftChars="-1" w:left="-1" w:hangingChars="1" w:hanging="1"/>
      <w:textDirection w:val="btLr"/>
      <w:textAlignment w:val="top"/>
      <w:outlineLvl w:val="0"/>
    </w:pPr>
    <w:rPr>
      <w:position w:val="-1"/>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style>
  <w:style w:type="paragraph" w:customStyle="1" w:styleId="MediumGrid1-Accent210">
    <w:name w:val="Medium Grid 1 - Accent 21"/>
    <w:basedOn w:val="Normal"/>
    <w:rsid w:val="003C7E31"/>
    <w:pPr>
      <w:spacing w:after="200" w:line="276" w:lineRule="auto"/>
      <w:ind w:left="720"/>
      <w:contextualSpacing/>
    </w:pPr>
    <w:rPr>
      <w:rFonts w:ascii="Calibri" w:eastAsia="Calibri" w:hAnsi="Calibri"/>
      <w:lang w:val="en-IN"/>
    </w:rPr>
  </w:style>
  <w:style w:type="paragraph" w:customStyle="1" w:styleId="MediumList2-Accent210">
    <w:name w:val="Medium List 2 - Accent 2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customStyle="1" w:styleId="ColorfulShading-Accent11">
    <w:name w:val="Colorful Shading - Accent 1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styleId="ListParagraph">
    <w:name w:val="List Paragraph"/>
    <w:basedOn w:val="Normal"/>
    <w:rsid w:val="003C7E31"/>
    <w:pPr>
      <w:ind w:left="720"/>
    </w:pPr>
  </w:style>
  <w:style w:type="character" w:customStyle="1" w:styleId="m-4293197127507418814gmail-il">
    <w:name w:val="m_-4293197127507418814gmail-il"/>
    <w:basedOn w:val="DefaultParagraphFont"/>
    <w:rsid w:val="003C7E31"/>
    <w:rPr>
      <w:w w:val="100"/>
      <w:position w:val="-1"/>
      <w:effect w:val="none"/>
      <w:vertAlign w:val="baseline"/>
      <w:cs w:val="0"/>
      <w:em w:val="none"/>
    </w:rPr>
  </w:style>
  <w:style w:type="character" w:customStyle="1" w:styleId="ListParagraphChar">
    <w:name w:val="List Paragraph Char"/>
    <w:rsid w:val="003C7E31"/>
    <w:rPr>
      <w:rFonts w:ascii="Book Antiqua" w:eastAsia="SimSun" w:hAnsi="Book Antiqua"/>
      <w:w w:val="100"/>
      <w:position w:val="-1"/>
      <w:sz w:val="22"/>
      <w:szCs w:val="22"/>
      <w:effect w:val="none"/>
      <w:vertAlign w:val="baseline"/>
      <w:cs w:val="0"/>
      <w:em w:val="none"/>
      <w:lang w:eastAsia="zh-CN"/>
    </w:rPr>
  </w:style>
  <w:style w:type="paragraph" w:styleId="NoSpacing">
    <w:name w:val="No Spacing"/>
    <w:rsid w:val="003C7E31"/>
    <w:pPr>
      <w:suppressAutoHyphens/>
      <w:spacing w:line="1" w:lineRule="atLeast"/>
      <w:ind w:leftChars="-1" w:left="-1" w:hangingChars="1" w:hanging="1"/>
      <w:textDirection w:val="btLr"/>
      <w:textAlignment w:val="top"/>
      <w:outlineLvl w:val="0"/>
    </w:pPr>
    <w:rPr>
      <w:rFonts w:ascii="Calibri" w:eastAsia="Calibri" w:hAnsi="Calibri" w:cs="Calibri"/>
      <w:color w:val="000000"/>
      <w:position w:val="-1"/>
      <w:lang w:val="en-GB" w:eastAsia="en-GB"/>
    </w:rPr>
  </w:style>
  <w:style w:type="paragraph" w:styleId="Subtitle">
    <w:name w:val="Subtitle"/>
    <w:basedOn w:val="Normal"/>
    <w:next w:val="Normal"/>
    <w:uiPriority w:val="11"/>
    <w:qFormat/>
    <w:rsid w:val="003C7E31"/>
    <w:pPr>
      <w:keepNext/>
      <w:keepLines/>
      <w:spacing w:before="360" w:after="80"/>
    </w:pPr>
    <w:rPr>
      <w:rFonts w:ascii="Georgia" w:eastAsia="Georgia" w:hAnsi="Georgia" w:cs="Georgia"/>
      <w:i/>
      <w:color w:val="666666"/>
      <w:sz w:val="48"/>
      <w:szCs w:val="48"/>
    </w:rPr>
  </w:style>
  <w:style w:type="table" w:customStyle="1" w:styleId="a">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C7E31"/>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3C7E31"/>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3C7E31"/>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612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indiaspend.com/wp-content/uploads/2020/06/Report-of-JMM-RNTCP-Nov-2019_Mobile.pdf" TargetMode="External"/><Relationship Id="rId1" Type="http://schemas.openxmlformats.org/officeDocument/2006/relationships/hyperlink" Target="https://www.ncbi.nlm.nih.gov/pmc/articles/PMC4799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6C8eCIv2eBfmqzhRDpYXwl/OyQ==">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presentation</dc:creator>
  <cp:lastModifiedBy>Home</cp:lastModifiedBy>
  <cp:revision>4</cp:revision>
  <cp:lastPrinted>2022-06-03T06:27:00Z</cp:lastPrinted>
  <dcterms:created xsi:type="dcterms:W3CDTF">2022-03-28T11:16:00Z</dcterms:created>
  <dcterms:modified xsi:type="dcterms:W3CDTF">2022-06-03T07:02:00Z</dcterms:modified>
</cp:coreProperties>
</file>