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Embeddings and Similarity Measures</w:t>
      </w:r>
    </w:p>
    <w:p>
      <w:pPr>
        <w:pStyle w:val="Heading1"/>
      </w:pPr>
      <w:r>
        <w:t>Dense embeddings</w:t>
      </w:r>
    </w:p>
    <w:p>
      <w:r>
        <w:t>An embedding model maps a piece of text to a fixed-length vector so that texts with similar meaning have nearby vectors. The sentence-transformers model all-MiniLM-L6-v2 produces 384-dimensional vectors. Sentence-BERT, introduced by Reimers and Gurevych in 2019, fine-tunes a transformer with a siamese network so that sentence vectors can be compared directly with cosine similarity.</w:t>
      </w:r>
    </w:p>
    <w:p>
      <w:pPr>
        <w:pStyle w:val="Heading1"/>
      </w:pPr>
      <w:r>
        <w:t>Cosine similarity and normalisation</w:t>
      </w:r>
    </w:p>
    <w:p>
      <w:r>
        <w:t>Cosine similarity measures the angle between two vectors and ignores their length. If every vector is first scaled to unit length, the cosine similarity equals the plain inner product. For that reason, a system that wants cosine similarity with an inner-product index must L2-normalise both the stored vectors and the query vector before searching.</w:t>
      </w:r>
    </w:p>
    <w:p>
      <w:pPr>
        <w:pStyle w:val="Heading1"/>
      </w:pPr>
      <w:r>
        <w:t>Latent semantic analysis</w:t>
      </w:r>
    </w:p>
    <w:p>
      <w:r>
        <w:t>Latent semantic analysis (LSA), described by Deerwester and colleagues in 1990, builds embeddings without a neural network. It computes a TF-IDF matrix of the corpus and applies a truncated singular value decomposition to project documents into a low-dimensional space. LSA vectors capture co-occurrence patterns in the training corpus only, so they handle synonyms much worse than a pretrained neural model.</w:t>
      </w:r>
    </w:p>
    <w:p>
      <w:pPr>
        <w:pStyle w:val="Heading1"/>
      </w:pPr>
      <w:r>
        <w:t>Consistency between index and query</w:t>
      </w:r>
    </w:p>
    <w:p>
      <w:r>
        <w:t>The query must be embedded with exactly the same model that produced the indexed vectors. Vectors from different models live in different spaces and cannot be compared. If the embedding model is changed, the whole index must be rebuilt.</w:t>
      </w:r>
    </w:p>
    <w:p>
      <w:pPr>
        <w:pStyle w:val="Heading1"/>
      </w:pPr>
      <w:r>
        <w:t>Choosing a model</w:t>
      </w:r>
    </w:p>
    <w:p>
      <w:r>
        <w:t>A model should be chosen for the language and domain of the corpus, its vector dimension, its maximum input length and its speed on the available hardware. Smaller models such as 384-dimensional ones are fast and use less memory, while larger models usually retrieve better on difficult paraphrased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