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 Design and Grounding</w:t>
      </w:r>
    </w:p>
    <w:p>
      <w:pPr>
        <w:pStyle w:val="Heading1"/>
      </w:pPr>
      <w:r>
        <w:t>Structure of a RAG prompt</w:t>
      </w:r>
    </w:p>
    <w:p>
      <w:r>
        <w:t>A RAG prompt normally has four parts: system instructions that define the role and the rules, the retrieved passages with their source labels, the user question, and a description of the required output format. Keeping these parts clearly delimited helps the model to tell instructions from data.</w:t>
      </w:r>
    </w:p>
    <w:p>
      <w:pPr>
        <w:pStyle w:val="Heading1"/>
      </w:pPr>
      <w:r>
        <w:t>Grounding instructions</w:t>
      </w:r>
    </w:p>
    <w:p>
      <w:r>
        <w:t>To keep the answer grounded, the prompt tells the model to use only the supplied passages, to say so explicitly when the passages do not contain the answer, to separate facts supported by the passages from uncertainty, and to cite the passage label, such as S1 or S2, after each claim. A low sampling temperature reduces random variation in the answer.</w:t>
      </w:r>
    </w:p>
    <w:p>
      <w:pPr>
        <w:pStyle w:val="Heading1"/>
      </w:pPr>
      <w:r>
        <w:t>Context length management</w:t>
      </w:r>
    </w:p>
    <w:p>
      <w:r>
        <w:t>The total prompt must fit in the model context window. When retrieved passages are too long, the lowest-ranked passages are dropped first, and a single passage is only truncated as a last resort. The number of dropped passages should be reported so that the user knows the context was shortened.</w:t>
      </w:r>
    </w:p>
    <w:p>
      <w:pPr>
        <w:pStyle w:val="Heading1"/>
      </w:pPr>
      <w:r>
        <w:t>Citations and their limits</w:t>
      </w:r>
    </w:p>
    <w:p>
      <w:r>
        <w:t>Passage-level citations show which retrieved passages were given to the model, but they do not prove that the model used them correctly. A citation to an existing passage can still be attached to a claim that the passage does not support. For this reason, cited labels should be checked against the retrieved set, and citations that do not exist should be removed or flagged.</w:t>
      </w:r>
    </w:p>
    <w:p>
      <w:pPr>
        <w:pStyle w:val="Heading1"/>
      </w:pPr>
      <w:r>
        <w:t>Hallucination</w:t>
      </w:r>
    </w:p>
    <w:p>
      <w:r>
        <w:t>Grounding reduces hallucination but cannot remove it. A model may blend retrieved text with memorised knowledge, misread a number, or answer confidently when the retrieved evidence is only loosely related. Abstention rules and evaluation on unanswerable questions are the practical defences.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