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b/>
          <w:bCs/>
          <w:color w:val="666666"/>
          <w:sz w:val="26"/>
          <w:szCs w:val="26"/>
        </w:rPr>
        <w:t xml:space="preserve">NMIMS MPSTME</w:t>
      </w:r>
    </w:p>
    <w:p>
      <w:pPr>
        <w:jc w:val="center"/>
      </w:pPr>
      <w:r>
        <w:rPr>
          <w:color w:val="666666"/>
          <w:sz w:val="22"/>
          <w:szCs w:val="22"/>
        </w:rPr>
        <w:t xml:space="preserve">B.Tech Computer Engineering</w:t>
      </w:r>
    </w:p>
    <w:p>
      <w:pPr>
        <w:spacing w:after="200" w:before="800"/>
        <w:jc w:val="center"/>
      </w:pPr>
      <w:r>
        <w:rPr>
          <w:b/>
          <w:bCs/>
          <w:color w:val="1F4E79"/>
          <w:sz w:val="48"/>
          <w:szCs w:val="48"/>
        </w:rPr>
        <w:t xml:space="preserve">DIGITAL IMAGE WATERMARKING</w:t>
      </w:r>
    </w:p>
    <w:p>
      <w:pPr>
        <w:spacing w:after="100"/>
        <w:jc w:val="center"/>
      </w:pPr>
      <w:r>
        <w:rPr>
          <w:i/>
          <w:iCs/>
          <w:color w:val="444444"/>
          <w:sz w:val="26"/>
          <w:szCs w:val="26"/>
        </w:rPr>
        <w:t xml:space="preserve">A Hybrid DWT-DCT-SVD Approach for Robust, Imperceptible Copyright Protection</w:t>
      </w:r>
    </w:p>
    <w:p>
      <w:pPr>
        <w:spacing w:after="100" w:before="100"/>
        <w:jc w:val="center"/>
      </w:pPr>
      <w:r>
        <w:rPr>
          <w:color w:val="888888"/>
          <w:sz w:val="20"/>
          <w:szCs w:val="20"/>
        </w:rPr>
        <w:t xml:space="preserve">(Classical Signal-Processing Method — No Machine Learning / Deep Learning)</w:t>
      </w:r>
    </w:p>
    <w:p>
      <w:pPr>
        <w:spacing w:before="900"/>
        <w:jc w:val="center"/>
      </w:pPr>
      <w:r>
        <w:rPr>
          <w:b/>
          <w:bCs/>
          <w:sz w:val="22"/>
          <w:szCs w:val="22"/>
        </w:rPr>
        <w:t xml:space="preserve">Subject: Image and Video Processing (IVP)</w:t>
      </w:r>
    </w:p>
    <w:p>
      <w:pPr>
        <w:spacing w:before="600"/>
        <w:jc w:val="center"/>
      </w:pPr>
      <w:r>
        <w:rPr>
          <w:color w:val="666666"/>
          <w:sz w:val="20"/>
          <w:szCs w:val="20"/>
        </w:rPr>
        <w:t xml:space="preserve">Submitted by</w:t>
      </w:r>
    </w:p>
    <w:p>
      <w:pPr>
        <w:jc w:val="center"/>
      </w:pPr>
      <w:r>
        <w:rPr>
          <w:b/>
          <w:bCs/>
          <w:sz w:val="24"/>
          <w:szCs w:val="24"/>
        </w:rPr>
        <w:t xml:space="preserve">Krishang Vikram Singh</w:t>
      </w:r>
    </w:p>
    <w:p>
      <w:pPr>
        <w:jc w:val="center"/>
      </w:pPr>
      <w:r>
        <w:rPr>
          <w:sz w:val="20"/>
          <w:szCs w:val="20"/>
        </w:rPr>
        <w:t xml:space="preserve">Roll No. B106  |  Batch C1</w:t>
      </w:r>
    </w:p>
    <w:p>
      <w:pPr>
        <w:spacing w:before="900"/>
        <w:jc w:val="center"/>
      </w:pPr>
      <w:r>
        <w:rPr>
          <w:color w:val="666666"/>
          <w:sz w:val="20"/>
          <w:szCs w:val="20"/>
        </w:rPr>
        <w:t xml:space="preserve">July 2026</w:t>
      </w:r>
    </w:p>
    <w:p>
      <w:r>
        <w:br w:type="page"/>
      </w:r>
    </w:p>
    <w:p>
      <w:pPr>
        <w:pStyle w:val="Heading1"/>
        <w:spacing w:after="160" w:before="320"/>
      </w:pPr>
      <w:r>
        <w:t xml:space="preserve">Abstract</w:t>
      </w:r>
    </w:p>
    <w:p>
      <w:pPr>
        <w:spacing w:after="160" w:line="300"/>
      </w:pPr>
      <w:r>
        <w:t xml:space="preserve">This project presents the design, implementation, and rigorous evaluation of a digital image watermarking system built entirely from classical signal-processing techniques — the Discrete Wavelet Transform (DWT), Discrete Cosine Transform (DCT), and Singular Value Decomposition (SVD) — with no machine learning or deep learning component of any kind. A binary logo watermark is embedded into the singular values of the DCT-transformed low-frequency (LL) sub-band of a host image, producing a watermarked image that is visually indistinguishable from the original while carrying a recoverable, ownership-identifying signal.</w:t>
      </w:r>
    </w:p>
    <w:p>
      <w:pPr>
        <w:spacing w:after="160" w:line="300"/>
      </w:pPr>
      <w:r>
        <w:t xml:space="preserve">The system was evaluated on two standard grayscale test images across a suite of fifteen realistic attacks — JPEG compression at three quality factors, additive Gaussian and salt-and-pepper noise, median filtering, Gaussian blurring, rotation, cropping, scaling, histogram equalization, and sharpening. Imperceptibility was quantified using PSNR (mean 35.6 dB) and SSIM (mean 0.996); robustness was quantified using Normalized Correlation (NC) and Bit Error Rate (BER) of the extracted watermark. The scheme achieved NC above the 0.75 recognizability threshold in 25 of 30 attack trials, with near-perfect recovery (NC &gt; 0.97) under JPEG compression, median filtering, and sharpening. An embedding-strength (alpha) sensitivity sweep quantifies the fundamental imperceptibility-robustness trade-off inherent to SVD-domain watermarking. Two genuine failure modes — severe cropping and global histogram equalization — are identified, analyzed, and used to motivate a concrete block-based future extension.</w:t>
      </w:r>
    </w:p>
    <w:p>
      <w:pPr>
        <w:spacing w:after="160" w:line="300"/>
      </w:pPr>
      <w:r>
        <w:t xml:space="preserve">The project demonstrates complete algorithmic transparency: every transform, every embedding step, and every extraction step is mathematically derivable and independently verifiable, distinguishing it from opaque learned models.</w:t>
      </w:r>
    </w:p>
    <w:p>
      <w:r>
        <w:br w:type="page"/>
      </w:r>
    </w:p>
    <w:p>
      <w:pPr>
        <w:pStyle w:val="Heading1"/>
        <w:spacing w:after="160" w:before="320"/>
      </w:pPr>
      <w:r>
        <w:t xml:space="preserve">Table of Contents</w:t>
      </w:r>
    </w:p>
    <w:p>
      <w:pPr>
        <w:tabs>
          <w:tab w:val="right" w:pos="9072" w:leader="dot"/>
        </w:tabs>
        <w:spacing w:after="100"/>
      </w:pPr>
      <w:r>
        <w:rPr>
          <w:sz w:val="22"/>
          <w:szCs w:val="22"/>
        </w:rPr>
        <w:t xml:space="preserve">Abstract</w:t>
      </w:r>
      <w:r>
        <w:rPr>
          <w:sz w:val="22"/>
          <w:szCs w:val="22"/>
        </w:rPr>
        <w:t xml:space="preserve">	2</w:t>
      </w:r>
    </w:p>
    <w:p>
      <w:pPr>
        <w:tabs>
          <w:tab w:val="right" w:pos="9072" w:leader="dot"/>
        </w:tabs>
        <w:spacing w:after="100"/>
      </w:pPr>
      <w:r>
        <w:rPr>
          <w:sz w:val="22"/>
          <w:szCs w:val="22"/>
        </w:rPr>
        <w:t xml:space="preserve">1. Introduction</w:t>
      </w:r>
      <w:r>
        <w:rPr>
          <w:sz w:val="22"/>
          <w:szCs w:val="22"/>
        </w:rPr>
        <w:t xml:space="preserve">	4</w:t>
      </w:r>
    </w:p>
    <w:p>
      <w:pPr>
        <w:tabs>
          <w:tab w:val="right" w:pos="9072" w:leader="dot"/>
        </w:tabs>
        <w:spacing w:after="100"/>
      </w:pPr>
      <w:r>
        <w:rPr>
          <w:sz w:val="22"/>
          <w:szCs w:val="22"/>
        </w:rPr>
        <w:t xml:space="preserve">   1.1 Background and Motivation</w:t>
      </w:r>
      <w:r>
        <w:rPr>
          <w:sz w:val="22"/>
          <w:szCs w:val="22"/>
        </w:rPr>
        <w:t xml:space="preserve">	4</w:t>
      </w:r>
    </w:p>
    <w:p>
      <w:pPr>
        <w:tabs>
          <w:tab w:val="right" w:pos="9072" w:leader="dot"/>
        </w:tabs>
        <w:spacing w:after="100"/>
      </w:pPr>
      <w:r>
        <w:rPr>
          <w:sz w:val="22"/>
          <w:szCs w:val="22"/>
        </w:rPr>
        <w:t xml:space="preserve">   1.2 Problem Statement</w:t>
      </w:r>
      <w:r>
        <w:rPr>
          <w:sz w:val="22"/>
          <w:szCs w:val="22"/>
        </w:rPr>
        <w:t xml:space="preserve">	4</w:t>
      </w:r>
    </w:p>
    <w:p>
      <w:pPr>
        <w:tabs>
          <w:tab w:val="right" w:pos="9072" w:leader="dot"/>
        </w:tabs>
        <w:spacing w:after="100"/>
      </w:pPr>
      <w:r>
        <w:rPr>
          <w:sz w:val="22"/>
          <w:szCs w:val="22"/>
        </w:rPr>
        <w:t xml:space="preserve">   1.3 Objectives</w:t>
      </w:r>
      <w:r>
        <w:rPr>
          <w:sz w:val="22"/>
          <w:szCs w:val="22"/>
        </w:rPr>
        <w:t xml:space="preserve">	4</w:t>
      </w:r>
    </w:p>
    <w:p>
      <w:pPr>
        <w:tabs>
          <w:tab w:val="right" w:pos="9072" w:leader="dot"/>
        </w:tabs>
        <w:spacing w:after="100"/>
      </w:pPr>
      <w:r>
        <w:rPr>
          <w:sz w:val="22"/>
          <w:szCs w:val="22"/>
        </w:rPr>
        <w:t xml:space="preserve">   1.4 Scope and Constraints</w:t>
      </w:r>
      <w:r>
        <w:rPr>
          <w:sz w:val="22"/>
          <w:szCs w:val="22"/>
        </w:rPr>
        <w:t xml:space="preserve">	4</w:t>
      </w:r>
    </w:p>
    <w:p>
      <w:pPr>
        <w:tabs>
          <w:tab w:val="right" w:pos="9072" w:leader="dot"/>
        </w:tabs>
        <w:spacing w:after="100"/>
      </w:pPr>
      <w:r>
        <w:rPr>
          <w:sz w:val="22"/>
          <w:szCs w:val="22"/>
        </w:rPr>
        <w:t xml:space="preserve">2. Literature Review</w:t>
      </w:r>
      <w:r>
        <w:rPr>
          <w:sz w:val="22"/>
          <w:szCs w:val="22"/>
        </w:rPr>
        <w:t xml:space="preserve">	5</w:t>
      </w:r>
    </w:p>
    <w:p>
      <w:pPr>
        <w:tabs>
          <w:tab w:val="right" w:pos="9072" w:leader="dot"/>
        </w:tabs>
        <w:spacing w:after="100"/>
      </w:pPr>
      <w:r>
        <w:rPr>
          <w:sz w:val="22"/>
          <w:szCs w:val="22"/>
        </w:rPr>
        <w:t xml:space="preserve">3. Proposed Methodology</w:t>
      </w:r>
      <w:r>
        <w:rPr>
          <w:sz w:val="22"/>
          <w:szCs w:val="22"/>
        </w:rPr>
        <w:t xml:space="preserve">	5</w:t>
      </w:r>
    </w:p>
    <w:p>
      <w:pPr>
        <w:tabs>
          <w:tab w:val="right" w:pos="9072" w:leader="dot"/>
        </w:tabs>
        <w:spacing w:after="100"/>
      </w:pPr>
      <w:r>
        <w:rPr>
          <w:sz w:val="22"/>
          <w:szCs w:val="22"/>
        </w:rPr>
        <w:t xml:space="preserve">   3.1 System Architecture</w:t>
      </w:r>
      <w:r>
        <w:rPr>
          <w:sz w:val="22"/>
          <w:szCs w:val="22"/>
        </w:rPr>
        <w:t xml:space="preserve">	5</w:t>
      </w:r>
    </w:p>
    <w:p>
      <w:pPr>
        <w:tabs>
          <w:tab w:val="right" w:pos="9072" w:leader="dot"/>
        </w:tabs>
        <w:spacing w:after="100"/>
      </w:pPr>
      <w:r>
        <w:rPr>
          <w:sz w:val="22"/>
          <w:szCs w:val="22"/>
        </w:rPr>
        <w:t xml:space="preserve">   3.2 Mathematical Formulation</w:t>
      </w:r>
      <w:r>
        <w:rPr>
          <w:sz w:val="22"/>
          <w:szCs w:val="22"/>
        </w:rPr>
        <w:t xml:space="preserve">	6</w:t>
      </w:r>
    </w:p>
    <w:p>
      <w:pPr>
        <w:tabs>
          <w:tab w:val="right" w:pos="9072" w:leader="dot"/>
        </w:tabs>
        <w:spacing w:after="100"/>
      </w:pPr>
      <w:r>
        <w:rPr>
          <w:sz w:val="22"/>
          <w:szCs w:val="22"/>
        </w:rPr>
        <w:t xml:space="preserve">   3.3 Attack Model</w:t>
      </w:r>
      <w:r>
        <w:rPr>
          <w:sz w:val="22"/>
          <w:szCs w:val="22"/>
        </w:rPr>
        <w:t xml:space="preserve">	7</w:t>
      </w:r>
    </w:p>
    <w:p>
      <w:pPr>
        <w:tabs>
          <w:tab w:val="right" w:pos="9072" w:leader="dot"/>
        </w:tabs>
        <w:spacing w:after="100"/>
      </w:pPr>
      <w:r>
        <w:rPr>
          <w:sz w:val="22"/>
          <w:szCs w:val="22"/>
        </w:rPr>
        <w:t xml:space="preserve">   3.4 Evaluation Metrics</w:t>
      </w:r>
      <w:r>
        <w:rPr>
          <w:sz w:val="22"/>
          <w:szCs w:val="22"/>
        </w:rPr>
        <w:t xml:space="preserve">	7</w:t>
      </w:r>
    </w:p>
    <w:p>
      <w:pPr>
        <w:tabs>
          <w:tab w:val="right" w:pos="9072" w:leader="dot"/>
        </w:tabs>
        <w:spacing w:after="100"/>
      </w:pPr>
      <w:r>
        <w:rPr>
          <w:sz w:val="22"/>
          <w:szCs w:val="22"/>
        </w:rPr>
        <w:t xml:space="preserve">4. Implementation</w:t>
      </w:r>
      <w:r>
        <w:rPr>
          <w:sz w:val="22"/>
          <w:szCs w:val="22"/>
        </w:rPr>
        <w:t xml:space="preserve">	7</w:t>
      </w:r>
    </w:p>
    <w:p>
      <w:pPr>
        <w:tabs>
          <w:tab w:val="right" w:pos="9072" w:leader="dot"/>
        </w:tabs>
        <w:spacing w:after="100"/>
      </w:pPr>
      <w:r>
        <w:rPr>
          <w:sz w:val="22"/>
          <w:szCs w:val="22"/>
        </w:rPr>
        <w:t xml:space="preserve">   4.1 Tools and Technologies</w:t>
      </w:r>
      <w:r>
        <w:rPr>
          <w:sz w:val="22"/>
          <w:szCs w:val="22"/>
        </w:rPr>
        <w:t xml:space="preserve">	7</w:t>
      </w:r>
    </w:p>
    <w:p>
      <w:pPr>
        <w:tabs>
          <w:tab w:val="right" w:pos="9072" w:leader="dot"/>
        </w:tabs>
        <w:spacing w:after="100"/>
      </w:pPr>
      <w:r>
        <w:rPr>
          <w:sz w:val="22"/>
          <w:szCs w:val="22"/>
        </w:rPr>
        <w:t xml:space="preserve">   4.2 Dataset</w:t>
      </w:r>
      <w:r>
        <w:rPr>
          <w:sz w:val="22"/>
          <w:szCs w:val="22"/>
        </w:rPr>
        <w:t xml:space="preserve">	8</w:t>
      </w:r>
    </w:p>
    <w:p>
      <w:pPr>
        <w:tabs>
          <w:tab w:val="right" w:pos="9072" w:leader="dot"/>
        </w:tabs>
        <w:spacing w:after="100"/>
      </w:pPr>
      <w:r>
        <w:rPr>
          <w:sz w:val="22"/>
          <w:szCs w:val="22"/>
        </w:rPr>
        <w:t xml:space="preserve">   4.3 Code Structure</w:t>
      </w:r>
      <w:r>
        <w:rPr>
          <w:sz w:val="22"/>
          <w:szCs w:val="22"/>
        </w:rPr>
        <w:t xml:space="preserve">	8</w:t>
      </w:r>
    </w:p>
    <w:p>
      <w:pPr>
        <w:tabs>
          <w:tab w:val="right" w:pos="9072" w:leader="dot"/>
        </w:tabs>
        <w:spacing w:after="100"/>
      </w:pPr>
      <w:r>
        <w:rPr>
          <w:sz w:val="22"/>
          <w:szCs w:val="22"/>
        </w:rPr>
        <w:t xml:space="preserve">   4.4 Key Implementation Excerpt</w:t>
      </w:r>
      <w:r>
        <w:rPr>
          <w:sz w:val="22"/>
          <w:szCs w:val="22"/>
        </w:rPr>
        <w:t xml:space="preserve">	8</w:t>
      </w:r>
    </w:p>
    <w:p>
      <w:pPr>
        <w:tabs>
          <w:tab w:val="right" w:pos="9072" w:leader="dot"/>
        </w:tabs>
        <w:spacing w:after="100"/>
      </w:pPr>
      <w:r>
        <w:rPr>
          <w:sz w:val="22"/>
          <w:szCs w:val="22"/>
        </w:rPr>
        <w:t xml:space="preserve">5. Results and Discussion</w:t>
      </w:r>
      <w:r>
        <w:rPr>
          <w:sz w:val="22"/>
          <w:szCs w:val="22"/>
        </w:rPr>
        <w:t xml:space="preserve">	9</w:t>
      </w:r>
    </w:p>
    <w:p>
      <w:pPr>
        <w:tabs>
          <w:tab w:val="right" w:pos="9072" w:leader="dot"/>
        </w:tabs>
        <w:spacing w:after="100"/>
      </w:pPr>
      <w:r>
        <w:rPr>
          <w:sz w:val="22"/>
          <w:szCs w:val="22"/>
        </w:rPr>
        <w:t xml:space="preserve">   5.1 Imperceptibility</w:t>
      </w:r>
      <w:r>
        <w:rPr>
          <w:sz w:val="22"/>
          <w:szCs w:val="22"/>
        </w:rPr>
        <w:t xml:space="preserve">	9</w:t>
      </w:r>
    </w:p>
    <w:p>
      <w:pPr>
        <w:tabs>
          <w:tab w:val="right" w:pos="9072" w:leader="dot"/>
        </w:tabs>
        <w:spacing w:after="100"/>
      </w:pPr>
      <w:r>
        <w:rPr>
          <w:sz w:val="22"/>
          <w:szCs w:val="22"/>
        </w:rPr>
        <w:t xml:space="preserve">   5.2 Robustness Under Attack</w:t>
      </w:r>
      <w:r>
        <w:rPr>
          <w:sz w:val="22"/>
          <w:szCs w:val="22"/>
        </w:rPr>
        <w:t xml:space="preserve">	9</w:t>
      </w:r>
    </w:p>
    <w:p>
      <w:pPr>
        <w:tabs>
          <w:tab w:val="right" w:pos="9072" w:leader="dot"/>
        </w:tabs>
        <w:spacing w:after="100"/>
      </w:pPr>
      <w:r>
        <w:rPr>
          <w:sz w:val="22"/>
          <w:szCs w:val="22"/>
        </w:rPr>
        <w:t xml:space="preserve">   5.3 Embedding Strength (alpha) Trade-off</w:t>
      </w:r>
      <w:r>
        <w:rPr>
          <w:sz w:val="22"/>
          <w:szCs w:val="22"/>
        </w:rPr>
        <w:t xml:space="preserve">	10</w:t>
      </w:r>
    </w:p>
    <w:p>
      <w:pPr>
        <w:tabs>
          <w:tab w:val="right" w:pos="9072" w:leader="dot"/>
        </w:tabs>
        <w:spacing w:after="100"/>
      </w:pPr>
      <w:r>
        <w:rPr>
          <w:sz w:val="22"/>
          <w:szCs w:val="22"/>
        </w:rPr>
        <w:t xml:space="preserve">   5.4 Failure Case Analysis</w:t>
      </w:r>
      <w:r>
        <w:rPr>
          <w:sz w:val="22"/>
          <w:szCs w:val="22"/>
        </w:rPr>
        <w:t xml:space="preserve">	11</w:t>
      </w:r>
    </w:p>
    <w:p>
      <w:pPr>
        <w:tabs>
          <w:tab w:val="right" w:pos="9072" w:leader="dot"/>
        </w:tabs>
        <w:spacing w:after="100"/>
      </w:pPr>
      <w:r>
        <w:rPr>
          <w:sz w:val="22"/>
          <w:szCs w:val="22"/>
        </w:rPr>
        <w:t xml:space="preserve">6. Limitations and Future Scope</w:t>
      </w:r>
      <w:r>
        <w:rPr>
          <w:sz w:val="22"/>
          <w:szCs w:val="22"/>
        </w:rPr>
        <w:t xml:space="preserve">	11</w:t>
      </w:r>
    </w:p>
    <w:p>
      <w:pPr>
        <w:tabs>
          <w:tab w:val="right" w:pos="9072" w:leader="dot"/>
        </w:tabs>
        <w:spacing w:after="100"/>
      </w:pPr>
      <w:r>
        <w:rPr>
          <w:sz w:val="22"/>
          <w:szCs w:val="22"/>
        </w:rPr>
        <w:t xml:space="preserve">7. Conclusion</w:t>
      </w:r>
      <w:r>
        <w:rPr>
          <w:sz w:val="22"/>
          <w:szCs w:val="22"/>
        </w:rPr>
        <w:t xml:space="preserve">	12</w:t>
      </w:r>
    </w:p>
    <w:p>
      <w:pPr>
        <w:tabs>
          <w:tab w:val="right" w:pos="9072" w:leader="dot"/>
        </w:tabs>
        <w:spacing w:after="100"/>
      </w:pPr>
      <w:r>
        <w:rPr>
          <w:sz w:val="22"/>
          <w:szCs w:val="22"/>
        </w:rPr>
        <w:t xml:space="preserve">References</w:t>
      </w:r>
      <w:r>
        <w:rPr>
          <w:sz w:val="22"/>
          <w:szCs w:val="22"/>
        </w:rPr>
        <w:t xml:space="preserve">	12</w:t>
      </w:r>
    </w:p>
    <w:p>
      <w:r>
        <w:br w:type="page"/>
      </w:r>
    </w:p>
    <w:p>
      <w:pPr>
        <w:pStyle w:val="Heading1"/>
        <w:spacing w:after="160" w:before="320"/>
      </w:pPr>
      <w:r>
        <w:t xml:space="preserve">1. Introduction</w:t>
      </w:r>
    </w:p>
    <w:p>
      <w:pPr>
        <w:pStyle w:val="Heading2"/>
        <w:spacing w:after="120" w:before="240"/>
      </w:pPr>
      <w:r>
        <w:t xml:space="preserve">1.1 Background and Motivation</w:t>
      </w:r>
    </w:p>
    <w:p>
      <w:pPr>
        <w:spacing w:after="160" w:line="300"/>
      </w:pPr>
      <w:r>
        <w:t xml:space="preserve">Digital images and videos are now trivially copied, redistributed, and repurposed. Photographers, medical institutions, publishers, and manufacturers all need a way to embed an invisible, verifiable ownership signature into their visual content without degrading its visual quality. Digital watermarking addresses this by hiding auxiliary information directly inside the pixel or transform-domain data of the host media.</w:t>
      </w:r>
    </w:p>
    <w:p>
      <w:pPr>
        <w:spacing w:after="160" w:line="300"/>
      </w:pPr>
      <w:r>
        <w:t xml:space="preserve">Two broad families exist: spatial-domain methods (e.g., Least Significant Bit substitution), which are simple but fragile, and transform-domain methods (DCT, DWT, SVD, and hybrids thereof), which spread the watermark energy across frequency components and are substantially more robust to compression and common signal-processing operations. This project implements and rigorously benchmarks a hybrid transform-domain scheme.</w:t>
      </w:r>
    </w:p>
    <w:p>
      <w:pPr>
        <w:pStyle w:val="Heading2"/>
        <w:spacing w:after="120" w:before="240"/>
      </w:pPr>
      <w:r>
        <w:t xml:space="preserve">1.2 Problem Statement</w:t>
      </w:r>
    </w:p>
    <w:p>
      <w:pPr>
        <w:spacing w:after="160" w:line="300"/>
      </w:pPr>
      <w:r>
        <w:t xml:space="preserve">Design an invisible digital image watermarking system that (a) introduces minimal, imperceptible distortion to the host image, (b) survives common real-world distortions such as compression, noise, filtering, and geometric transformation, and (c) is fully explainable through closed-form linear-algebraic operations — with no learned/black-box component.</w:t>
      </w:r>
    </w:p>
    <w:p>
      <w:pPr>
        <w:pStyle w:val="Heading2"/>
        <w:spacing w:after="120" w:before="240"/>
      </w:pPr>
      <w:r>
        <w:t xml:space="preserve">1.3 Objectives</w:t>
      </w:r>
    </w:p>
    <w:p>
      <w:pPr>
        <w:pStyle w:val="ListParagraph"/>
        <w:numPr>
          <w:ilvl w:val="0"/>
          <w:numId w:val="1"/>
        </w:numPr>
        <w:spacing w:after="80"/>
      </w:pPr>
      <w:r>
        <w:t xml:space="preserve">Implement a hybrid DWT-DCT-SVD watermark embedding and extraction pipeline from first principles.</w:t>
      </w:r>
    </w:p>
    <w:p>
      <w:pPr>
        <w:pStyle w:val="ListParagraph"/>
        <w:numPr>
          <w:ilvl w:val="0"/>
          <w:numId w:val="1"/>
        </w:numPr>
        <w:spacing w:after="80"/>
      </w:pPr>
      <w:r>
        <w:t xml:space="preserve">Quantitatively evaluate imperceptibility using PSNR and SSIM.</w:t>
      </w:r>
    </w:p>
    <w:p>
      <w:pPr>
        <w:pStyle w:val="ListParagraph"/>
        <w:numPr>
          <w:ilvl w:val="0"/>
          <w:numId w:val="1"/>
        </w:numPr>
        <w:spacing w:after="80"/>
      </w:pPr>
      <w:r>
        <w:t xml:space="preserve">Quantitatively evaluate robustness using Normalized Correlation and Bit Error Rate under a comprehensive attack suite.</w:t>
      </w:r>
    </w:p>
    <w:p>
      <w:pPr>
        <w:pStyle w:val="ListParagraph"/>
        <w:numPr>
          <w:ilvl w:val="0"/>
          <w:numId w:val="1"/>
        </w:numPr>
        <w:spacing w:after="80"/>
      </w:pPr>
      <w:r>
        <w:t xml:space="preserve">Characterize the imperceptibility-vs-robustness trade-off as a function of embedding strength (alpha).</w:t>
      </w:r>
    </w:p>
    <w:p>
      <w:pPr>
        <w:pStyle w:val="ListParagraph"/>
        <w:numPr>
          <w:ilvl w:val="0"/>
          <w:numId w:val="1"/>
        </w:numPr>
        <w:spacing w:after="80"/>
      </w:pPr>
      <w:r>
        <w:t xml:space="preserve">Identify and analyze the scheme's failure modes and propose concrete improvements.</w:t>
      </w:r>
    </w:p>
    <w:p>
      <w:pPr>
        <w:pStyle w:val="Heading2"/>
        <w:spacing w:after="120" w:before="240"/>
      </w:pPr>
      <w:r>
        <w:t xml:space="preserve">1.4 Scope and Constraints</w:t>
      </w:r>
    </w:p>
    <w:p>
      <w:pPr>
        <w:spacing w:after="160" w:line="300"/>
      </w:pPr>
      <w:r>
        <w:t xml:space="preserve">The implementation targets 8-bit grayscale images (extendable to color via independent per-channel or luminance-domain embedding). The design intentionally excludes all machine learning and deep learning techniques — no classifiers, neural networks, or trained models are used at any stage; every operation is a deterministic, mathematically specified transform.</w:t>
      </w:r>
    </w:p>
    <w:p>
      <w:pPr>
        <w:pStyle w:val="Heading1"/>
        <w:spacing w:after="160" w:before="320"/>
      </w:pPr>
      <w:r>
        <w:t xml:space="preserve">2. Literature Review</w:t>
      </w:r>
    </w:p>
    <w:p>
      <w:pPr>
        <w:spacing w:after="160" w:line="300"/>
      </w:pPr>
      <w:r>
        <w:t xml:space="preserve">Early watermarking approaches operated directly in the spatial domain, most notably Least Significant Bit (LSB) substitution, which offers high capacity and simplicity but is destroyed by even mild lossy compression or filtering, making it unsuitable for robust copyright protection.</w:t>
      </w:r>
    </w:p>
    <w:p>
      <w:pPr>
        <w:spacing w:after="160" w:line="300"/>
      </w:pPr>
      <w:r>
        <w:t xml:space="preserve">Transform-domain approaches instead embed the watermark into frequency coefficients. DCT-domain watermarking, popularized by early work such as Cox et al.'s spread-spectrum approach, embeds a pseudo-random sequence into perceptually significant mid-frequency DCT coefficients, trading some capacity for substantially improved robustness to JPEG compression.</w:t>
      </w:r>
    </w:p>
    <w:p>
      <w:pPr>
        <w:spacing w:after="160" w:line="300"/>
      </w:pPr>
      <w:r>
        <w:t xml:space="preserve">Wavelet-domain (DWT) methods decompose the image into multi-resolution sub-bands (approximation and detail), allowing the watermark to be concentrated in the energy-rich low-frequency LL sub-band for robustness, or in high-frequency sub-bands for imperceptibility. SVD-domain methods, following the foundational work of Liu and Tan and later Ganic and Eskicioglu, exploit the fact that the singular values of an image capture its intrinsic algebraic properties and are highly stable under minor pixel-level distortion — small modifications to singular values do not visibly alter the image, yet the modification is recoverable.</w:t>
      </w:r>
    </w:p>
    <w:p>
      <w:pPr>
        <w:spacing w:after="160" w:line="300"/>
      </w:pPr>
      <w:r>
        <w:t xml:space="preserve">Hybrid schemes that cascade DWT, DCT, and SVD (e.g., applying DCT and then SVD within a DWT sub-band) combine the multi-resolution robustness of wavelets, the compression-alignment of DCT, and the numerical stability of SVD, and have been repeatedly shown in the watermarking literature to outperform any single transform used alone. This project adopts and independently implements that hybrid DWT-DCT-SVD design.</w:t>
      </w:r>
    </w:p>
    <w:p>
      <w:pPr>
        <w:pStyle w:val="Heading1"/>
        <w:spacing w:after="160" w:before="320"/>
      </w:pPr>
      <w:r>
        <w:t xml:space="preserve">3. Proposed Methodology</w:t>
      </w:r>
    </w:p>
    <w:p>
      <w:pPr>
        <w:pStyle w:val="Heading2"/>
        <w:spacing w:after="120" w:before="240"/>
      </w:pPr>
      <w:r>
        <w:t xml:space="preserve">3.1 System Architecture</w:t>
      </w:r>
    </w:p>
    <w:p>
      <w:pPr>
        <w:spacing w:after="160" w:line="300"/>
      </w:pPr>
      <w:r>
        <w:t xml:space="preserve">The system consists of two independent pipelines that share a common embedding key: an embedding pipeline (run once, by the content owner) and an extraction pipeline (run whenever ownership must be verified, on possibly-attacked content).</w:t>
      </w:r>
    </w:p>
    <w:p>
      <w:pPr>
        <w:spacing w:after="60" w:before="160"/>
        <w:jc w:val="center"/>
      </w:pPr>
      <w:r>
        <w:drawing>
          <wp:inline distT="0" distB="0" distL="0" distR="0">
            <wp:extent cx="5715000" cy="176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1762125"/>
                    </a:xfrm>
                    <a:prstGeom prst="rect">
                      <a:avLst/>
                    </a:prstGeom>
                  </pic:spPr>
                </pic:pic>
              </a:graphicData>
            </a:graphic>
          </wp:inline>
        </w:drawing>
      </w:r>
    </w:p>
    <w:p>
      <w:pPr>
        <w:spacing w:after="240"/>
        <w:jc w:val="center"/>
      </w:pPr>
      <w:r>
        <w:rPr>
          <w:i/>
          <w:iCs/>
          <w:color w:val="444444"/>
          <w:sz w:val="20"/>
          <w:szCs w:val="20"/>
        </w:rPr>
        <w:t xml:space="preserve">Figure 3.1: Watermark embedding pipeline</w:t>
      </w:r>
    </w:p>
    <w:p>
      <w:pPr>
        <w:spacing w:after="60" w:before="160"/>
        <w:jc w:val="center"/>
      </w:pPr>
      <w:r>
        <w:drawing>
          <wp:inline distT="0" distB="0" distL="0" distR="0">
            <wp:extent cx="5715000" cy="166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1666875"/>
                    </a:xfrm>
                    <a:prstGeom prst="rect">
                      <a:avLst/>
                    </a:prstGeom>
                  </pic:spPr>
                </pic:pic>
              </a:graphicData>
            </a:graphic>
          </wp:inline>
        </w:drawing>
      </w:r>
    </w:p>
    <w:p>
      <w:pPr>
        <w:spacing w:after="240"/>
        <w:jc w:val="center"/>
      </w:pPr>
      <w:r>
        <w:rPr>
          <w:i/>
          <w:iCs/>
          <w:color w:val="444444"/>
          <w:sz w:val="20"/>
          <w:szCs w:val="20"/>
        </w:rPr>
        <w:t xml:space="preserve">Figure 3.2: Watermark extraction pipeline (semi-blind, key-based)</w:t>
      </w:r>
    </w:p>
    <w:p>
      <w:pPr>
        <w:pStyle w:val="Heading2"/>
        <w:spacing w:after="120" w:before="240"/>
      </w:pPr>
      <w:r>
        <w:t xml:space="preserve">3.2 Mathematical Formulation</w:t>
      </w:r>
    </w:p>
    <w:p>
      <w:pPr>
        <w:pStyle w:val="Heading3"/>
        <w:spacing w:after="100" w:before="200"/>
      </w:pPr>
      <w:r>
        <w:t xml:space="preserve">3.2.1 Discrete Wavelet Transform (DWT)</w:t>
      </w:r>
    </w:p>
    <w:p>
      <w:pPr>
        <w:spacing w:after="160" w:line="300"/>
      </w:pPr>
      <w:r>
        <w:t xml:space="preserve">A single-level 2D Haar DWT decomposes host image H into four sub-bands:</w:t>
      </w:r>
    </w:p>
    <w:p>
      <w:pPr>
        <w:spacing w:after="120" w:before="120"/>
        <w:jc w:val="center"/>
      </w:pPr>
      <w:r>
        <w:rPr>
          <w:rFonts w:ascii="Cambria Math" w:cs="Cambria Math" w:eastAsia="Cambria Math" w:hAnsi="Cambria Math"/>
          <w:i/>
          <w:iCs/>
          <w:sz w:val="24"/>
          <w:szCs w:val="24"/>
        </w:rPr>
        <w:t xml:space="preserve">H  →  { LL, LH, HL, HH }</w:t>
      </w:r>
    </w:p>
    <w:p>
      <w:pPr>
        <w:spacing w:after="160" w:line="300"/>
      </w:pPr>
      <w:r>
        <w:t xml:space="preserve">LL is the coarse approximation (contains most of the image energy and is robust to noise); LH, HL, HH capture horizontal, vertical, and diagonal detail. The watermark is embedded in LL for maximum robustness, at a small imperceptibility cost.</w:t>
      </w:r>
    </w:p>
    <w:p>
      <w:pPr>
        <w:pStyle w:val="Heading3"/>
        <w:spacing w:after="100" w:before="200"/>
      </w:pPr>
      <w:r>
        <w:t xml:space="preserve">3.2.2 Discrete Cosine Transform (DCT)</w:t>
      </w:r>
    </w:p>
    <w:p>
      <w:pPr>
        <w:spacing w:after="160" w:line="300"/>
      </w:pPr>
      <w:r>
        <w:t xml:space="preserve">The LL sub-band is converted to the frequency domain via the 2D DCT:</w:t>
      </w:r>
    </w:p>
    <w:p>
      <w:pPr>
        <w:spacing w:after="120" w:before="120"/>
        <w:jc w:val="center"/>
      </w:pPr>
      <w:r>
        <w:rPr>
          <w:rFonts w:ascii="Cambria Math" w:cs="Cambria Math" w:eastAsia="Cambria Math" w:hAnsi="Cambria Math"/>
          <w:i/>
          <w:iCs/>
          <w:sz w:val="24"/>
          <w:szCs w:val="24"/>
        </w:rPr>
        <w:t xml:space="preserve">F(u,v) = α(u)α(v) ΣΣ f(x,y) cos[(2x+1)uπ/2N] cos[(2y+1)vπ/2N]</w:t>
      </w:r>
    </w:p>
    <w:p>
      <w:pPr>
        <w:spacing w:after="160" w:line="300"/>
      </w:pPr>
      <w:r>
        <w:t xml:space="preserve">This aligns the embedding domain with the same frequency decomposition JPEG compression uses internally, which is what gives the scheme its strong JPEG robustness.</w:t>
      </w:r>
    </w:p>
    <w:p>
      <w:pPr>
        <w:pStyle w:val="Heading3"/>
        <w:spacing w:after="100" w:before="200"/>
      </w:pPr>
      <w:r>
        <w:t xml:space="preserve">3.2.3 Singular Value Decomposition (SVD)</w:t>
      </w:r>
    </w:p>
    <w:p>
      <w:pPr>
        <w:spacing w:after="160" w:line="300"/>
      </w:pPr>
      <w:r>
        <w:t xml:space="preserve">Any matrix A (here, the DCT-transformed LL sub-band) decomposes as:</w:t>
      </w:r>
    </w:p>
    <w:p>
      <w:pPr>
        <w:spacing w:after="120" w:before="120"/>
        <w:jc w:val="center"/>
      </w:pPr>
      <w:r>
        <w:rPr>
          <w:rFonts w:ascii="Cambria Math" w:cs="Cambria Math" w:eastAsia="Cambria Math" w:hAnsi="Cambria Math"/>
          <w:i/>
          <w:iCs/>
          <w:sz w:val="24"/>
          <w:szCs w:val="24"/>
        </w:rPr>
        <w:t xml:space="preserve">A = U · S · Vᵀ</w:t>
      </w:r>
    </w:p>
    <w:p>
      <w:pPr>
        <w:spacing w:after="160" w:line="300"/>
      </w:pPr>
      <w:r>
        <w:t xml:space="preserve">where S is a diagonal matrix of singular values. Singular values represent the algebraic “energy” of the matrix along orthogonal directions and change very little under small pixel-level perturbations — this stability is exactly why they are a good place to hide a robust watermark.</w:t>
      </w:r>
    </w:p>
    <w:p>
      <w:pPr>
        <w:pStyle w:val="Heading3"/>
        <w:spacing w:after="100" w:before="200"/>
      </w:pPr>
      <w:r>
        <w:t xml:space="preserve">3.2.4 Embedding Rule</w:t>
      </w:r>
    </w:p>
    <w:p>
      <w:pPr>
        <w:spacing w:after="120" w:before="120"/>
        <w:jc w:val="center"/>
      </w:pPr>
      <w:r>
        <w:rPr>
          <w:rFonts w:ascii="Cambria Math" w:cs="Cambria Math" w:eastAsia="Cambria Math" w:hAnsi="Cambria Math"/>
          <w:i/>
          <w:iCs/>
          <w:sz w:val="24"/>
          <w:szCs w:val="24"/>
        </w:rPr>
        <w:t xml:space="preserve">S' = S + α · Sw          (Sw = singular values of the watermark)</w:t>
      </w:r>
    </w:p>
    <w:p>
      <w:pPr>
        <w:spacing w:after="160" w:line="300"/>
      </w:pPr>
      <w:r>
        <w:t xml:space="preserve">Reconstruction proceeds as A' = U·S'·Vᵀ, followed by inverse DCT and inverse DWT to obtain the watermarked image. The scalar α (embedding strength) is the single tunable parameter controlling the imperceptibility/robustness trade-off, studied in Section 5.3.</w:t>
      </w:r>
    </w:p>
    <w:p>
      <w:pPr>
        <w:pStyle w:val="Heading3"/>
        <w:spacing w:after="100" w:before="200"/>
      </w:pPr>
      <w:r>
        <w:t xml:space="preserve">3.2.5 Extraction Rule</w:t>
      </w:r>
    </w:p>
    <w:p>
      <w:pPr>
        <w:spacing w:after="120" w:before="120"/>
        <w:jc w:val="center"/>
      </w:pPr>
      <w:r>
        <w:rPr>
          <w:rFonts w:ascii="Cambria Math" w:cs="Cambria Math" w:eastAsia="Cambria Math" w:hAnsi="Cambria Math"/>
          <w:i/>
          <w:iCs/>
          <w:sz w:val="24"/>
          <w:szCs w:val="24"/>
        </w:rPr>
        <w:t xml:space="preserve">Sw' = (S_attacked − S_original) / α  ,   W_extracted = Uw · Sw' · Vwᵀ</w:t>
      </w:r>
    </w:p>
    <w:p>
      <w:pPr>
        <w:spacing w:after="160" w:line="300"/>
      </w:pPr>
      <w:r>
        <w:t xml:space="preserve">Extraction requires the embedding key K = {U, V, Uw, Vw, S_original, α} generated at embedding time. This semi-blind design (key held by the copyright owner) is standard for robust ownership-verification watermarking, as opposed to blind steganographic schemes designed for covert communication.</w:t>
      </w:r>
    </w:p>
    <w:p>
      <w:pPr>
        <w:pStyle w:val="Heading2"/>
        <w:spacing w:after="120" w:before="240"/>
      </w:pPr>
      <w:r>
        <w:t xml:space="preserve">3.3 Attack Model</w:t>
      </w:r>
    </w:p>
    <w:p>
      <w:pPr>
        <w:spacing w:after="160" w:line="300"/>
      </w:pPr>
      <w:r>
        <w:t xml:space="preserve">Robustness was benchmarked against fifteen distortions grouped into four categories, chosen to represent realistic real-world handling of an image after it leaves the owner's control:</w:t>
      </w:r>
    </w:p>
    <w:p>
      <w:pPr>
        <w:pStyle w:val="ListParagraph"/>
        <w:numPr>
          <w:ilvl w:val="0"/>
          <w:numId w:val="1"/>
        </w:numPr>
        <w:spacing w:after="80"/>
      </w:pPr>
      <w:r>
        <w:t xml:space="preserve">Compression: JPEG at quality factors 90, 50, and 20</w:t>
      </w:r>
    </w:p>
    <w:p>
      <w:pPr>
        <w:pStyle w:val="ListParagraph"/>
        <w:numPr>
          <w:ilvl w:val="0"/>
          <w:numId w:val="1"/>
        </w:numPr>
        <w:spacing w:after="80"/>
      </w:pPr>
      <w:r>
        <w:t xml:space="preserve">Noise: Additive Gaussian noise (two variance levels), salt-and-pepper noise</w:t>
      </w:r>
    </w:p>
    <w:p>
      <w:pPr>
        <w:pStyle w:val="ListParagraph"/>
        <w:numPr>
          <w:ilvl w:val="0"/>
          <w:numId w:val="1"/>
        </w:numPr>
        <w:spacing w:after="80"/>
      </w:pPr>
      <w:r>
        <w:t xml:space="preserve">Filtering: 3×3 median filter, Gaussian blur, unsharp-mask sharpening</w:t>
      </w:r>
    </w:p>
    <w:p>
      <w:pPr>
        <w:pStyle w:val="ListParagraph"/>
        <w:numPr>
          <w:ilvl w:val="0"/>
          <w:numId w:val="1"/>
        </w:numPr>
        <w:spacing w:after="80"/>
      </w:pPr>
      <w:r>
        <w:t xml:space="preserve">Geometric / global: rotation (5°, 15°), cropping (25%), downscale-upscale (0.5×), histogram equalization</w:t>
      </w:r>
    </w:p>
    <w:p>
      <w:pPr>
        <w:pStyle w:val="Heading2"/>
        <w:spacing w:after="120" w:before="240"/>
      </w:pPr>
      <w:r>
        <w:t xml:space="preserve">3.4 Evaluation Metrics</w:t>
      </w:r>
    </w:p>
    <w:p>
      <w:pPr>
        <w:spacing w:after="120" w:before="120"/>
        <w:jc w:val="center"/>
      </w:pPr>
      <w:r>
        <w:rPr>
          <w:rFonts w:ascii="Cambria Math" w:cs="Cambria Math" w:eastAsia="Cambria Math" w:hAnsi="Cambria Math"/>
          <w:i/>
          <w:iCs/>
          <w:sz w:val="24"/>
          <w:szCs w:val="24"/>
        </w:rPr>
        <w:t xml:space="preserve">PSNR = 10 log₁₀ (255² / MSE)      [imperceptibility, dB, higher is better]</w:t>
      </w:r>
    </w:p>
    <w:p>
      <w:pPr>
        <w:spacing w:after="120" w:before="120"/>
        <w:jc w:val="center"/>
      </w:pPr>
      <w:r>
        <w:rPr>
          <w:rFonts w:ascii="Cambria Math" w:cs="Cambria Math" w:eastAsia="Cambria Math" w:hAnsi="Cambria Math"/>
          <w:i/>
          <w:iCs/>
          <w:sz w:val="24"/>
          <w:szCs w:val="24"/>
        </w:rPr>
        <w:t xml:space="preserve">SSIM ∈ [0,1]      [structural similarity, higher is better]</w:t>
      </w:r>
    </w:p>
    <w:p>
      <w:pPr>
        <w:spacing w:after="120" w:before="120"/>
        <w:jc w:val="center"/>
      </w:pPr>
      <w:r>
        <w:rPr>
          <w:rFonts w:ascii="Cambria Math" w:cs="Cambria Math" w:eastAsia="Cambria Math" w:hAnsi="Cambria Math"/>
          <w:i/>
          <w:iCs/>
          <w:sz w:val="24"/>
          <w:szCs w:val="24"/>
        </w:rPr>
        <w:t xml:space="preserve">NC = (Σ Wₒ·Wₑ) / (‖Wₒ‖ · ‖Wₑ‖)      [extraction fidelity, 1.0 = perfect]</w:t>
      </w:r>
    </w:p>
    <w:p>
      <w:pPr>
        <w:spacing w:after="120" w:before="120"/>
        <w:jc w:val="center"/>
      </w:pPr>
      <w:r>
        <w:rPr>
          <w:rFonts w:ascii="Cambria Math" w:cs="Cambria Math" w:eastAsia="Cambria Math" w:hAnsi="Cambria Math"/>
          <w:i/>
          <w:iCs/>
          <w:sz w:val="24"/>
          <w:szCs w:val="24"/>
        </w:rPr>
        <w:t xml:space="preserve">BER = fraction of mismatched bits between binarized Wₒ and Wₑ   [lower is better]</w:t>
      </w:r>
    </w:p>
    <w:p>
      <w:pPr>
        <w:spacing w:after="160" w:line="300"/>
      </w:pPr>
      <w:r>
        <w:t xml:space="preserve">An NC threshold of 0.75 is used throughout this report as the standard “visually recognizable” cutoff, consistent with common practice in the watermarking literature.</w:t>
      </w:r>
    </w:p>
    <w:p>
      <w:pPr>
        <w:pStyle w:val="Heading1"/>
        <w:spacing w:after="160" w:before="320"/>
      </w:pPr>
      <w:r>
        <w:t xml:space="preserve">4. Implementation</w:t>
      </w:r>
    </w:p>
    <w:p>
      <w:pPr>
        <w:pStyle w:val="Heading2"/>
        <w:spacing w:after="120" w:before="240"/>
      </w:pPr>
      <w:r>
        <w:t xml:space="preserve">4.1 Tools and Technologies</w:t>
      </w:r>
    </w:p>
    <w:p>
      <w:pPr>
        <w:pStyle w:val="ListParagraph"/>
        <w:numPr>
          <w:ilvl w:val="0"/>
          <w:numId w:val="1"/>
        </w:numPr>
        <w:spacing w:after="80"/>
      </w:pPr>
      <w:r>
        <w:t xml:space="preserve">Python 3 — core implementation language</w:t>
      </w:r>
    </w:p>
    <w:p>
      <w:pPr>
        <w:pStyle w:val="ListParagraph"/>
        <w:numPr>
          <w:ilvl w:val="0"/>
          <w:numId w:val="1"/>
        </w:numPr>
        <w:spacing w:after="80"/>
      </w:pPr>
      <w:r>
        <w:t xml:space="preserve">NumPy — matrix algebra, SVD</w:t>
      </w:r>
    </w:p>
    <w:p>
      <w:pPr>
        <w:pStyle w:val="ListParagraph"/>
        <w:numPr>
          <w:ilvl w:val="0"/>
          <w:numId w:val="1"/>
        </w:numPr>
        <w:spacing w:after="80"/>
      </w:pPr>
      <w:r>
        <w:t xml:space="preserve">PyWavelets — 2D DWT / inverse DWT</w:t>
      </w:r>
    </w:p>
    <w:p>
      <w:pPr>
        <w:pStyle w:val="ListParagraph"/>
        <w:numPr>
          <w:ilvl w:val="0"/>
          <w:numId w:val="1"/>
        </w:numPr>
        <w:spacing w:after="80"/>
      </w:pPr>
      <w:r>
        <w:t xml:space="preserve">SciPy (fftpack, ndimage) — DCT/IDCT, filtering</w:t>
      </w:r>
    </w:p>
    <w:p>
      <w:pPr>
        <w:pStyle w:val="ListParagraph"/>
        <w:numPr>
          <w:ilvl w:val="0"/>
          <w:numId w:val="1"/>
        </w:numPr>
        <w:spacing w:after="80"/>
      </w:pPr>
      <w:r>
        <w:t xml:space="preserve">scikit-image — PSNR, SSIM, resizing, rotation, noise, histogram equalization</w:t>
      </w:r>
    </w:p>
    <w:p>
      <w:pPr>
        <w:pStyle w:val="ListParagraph"/>
        <w:numPr>
          <w:ilvl w:val="0"/>
          <w:numId w:val="1"/>
        </w:numPr>
        <w:spacing w:after="80"/>
      </w:pPr>
      <w:r>
        <w:t xml:space="preserve">Pillow (PIL) — JPEG compression simulation, image I/O</w:t>
      </w:r>
    </w:p>
    <w:p>
      <w:pPr>
        <w:pStyle w:val="ListParagraph"/>
        <w:numPr>
          <w:ilvl w:val="0"/>
          <w:numId w:val="1"/>
        </w:numPr>
        <w:spacing w:after="80"/>
      </w:pPr>
      <w:r>
        <w:t xml:space="preserve">Matplotlib / Pandas — result visualization and tabulation</w:t>
      </w:r>
    </w:p>
    <w:p>
      <w:pPr>
        <w:pStyle w:val="Heading2"/>
        <w:spacing w:after="120" w:before="240"/>
      </w:pPr>
      <w:r>
        <w:t xml:space="preserve">4.2 Dataset</w:t>
      </w:r>
    </w:p>
    <w:p>
      <w:pPr>
        <w:spacing w:after="160" w:line="300"/>
      </w:pPr>
      <w:r>
        <w:t xml:space="preserve">Two standard grayscale test images (512×512, from the scikit-image sample dataset) were used as host/cover images: the classic “cameraman” image and a grayscale-converted “astronaut” image. The watermark is a procedurally generated 64×64 binary logo (bordered rectangle with embedded text), avoiding any dependency on external or copyrighted image assets.</w:t>
      </w:r>
    </w:p>
    <w:p>
      <w:pPr>
        <w:pStyle w:val="Heading2"/>
        <w:spacing w:after="120" w:before="240"/>
      </w:pPr>
      <w:r>
        <w:t xml:space="preserve">4.3 Code Structure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1F4E79" w:val="clear"/>
            <w:tcMar>
              <w:top w:type="dxa" w:w="60"/>
              <w:left w:type="dxa" w:w="100"/>
              <w:bottom w:type="dxa" w:w="60"/>
              <w:right w:type="dxa" w:w="100"/>
            </w:tcMar>
            <w:vAlign w:val="center"/>
          </w:tcPr>
          <w:p>
            <w:pPr>
              <w:jc w:val="center"/>
            </w:pPr>
            <w:r>
              <w:rPr>
                <w:b/>
                <w:bCs/>
                <w:color w:val="FFFFFF"/>
                <w:sz w:val="20"/>
                <w:szCs w:val="20"/>
              </w:rPr>
              <w:t xml:space="preserve">Module</w:t>
            </w:r>
          </w:p>
        </w:tc>
        <w:tc>
          <w:tcPr>
            <w:tcW w:type="dxa" w:w="5800"/>
            <w:shd w:fill="1F4E79" w:val="clear"/>
            <w:tcMar>
              <w:top w:type="dxa" w:w="60"/>
              <w:left w:type="dxa" w:w="100"/>
              <w:bottom w:type="dxa" w:w="60"/>
              <w:right w:type="dxa" w:w="100"/>
            </w:tcMar>
            <w:vAlign w:val="center"/>
          </w:tcPr>
          <w:p>
            <w:pPr>
              <w:jc w:val="center"/>
            </w:pPr>
            <w:r>
              <w:rPr>
                <w:b/>
                <w:bCs/>
                <w:color w:val="FFFFFF"/>
                <w:sz w:val="20"/>
                <w:szCs w:val="20"/>
              </w:rPr>
              <w:t xml:space="preserve">Responsibility</w:t>
            </w:r>
          </w:p>
        </w:tc>
      </w:tr>
      <w:tr>
        <w:tc>
          <w:tcPr>
            <w:tcW w:type="dxa" w:w="3200"/>
            <w:shd w:fill="F2F6FA" w:val="clear"/>
            <w:tcMar>
              <w:top w:type="dxa" w:w="60"/>
              <w:left w:type="dxa" w:w="100"/>
              <w:bottom w:type="dxa" w:w="60"/>
              <w:right w:type="dxa" w:w="100"/>
            </w:tcMar>
            <w:vAlign w:val="center"/>
          </w:tcPr>
          <w:p>
            <w:pPr>
              <w:jc w:val="center"/>
            </w:pPr>
            <w:r>
              <w:rPr>
                <w:b w:val="false"/>
                <w:bCs w:val="false"/>
                <w:color w:val="000000"/>
                <w:sz w:val="20"/>
                <w:szCs w:val="20"/>
              </w:rPr>
              <w:t xml:space="preserve">watermark_core.py</w:t>
            </w:r>
          </w:p>
        </w:tc>
        <w:tc>
          <w:tcPr>
            <w:tcW w:type="dxa" w:w="5800"/>
            <w:shd w:fill="F2F6FA" w:val="clear"/>
            <w:tcMar>
              <w:top w:type="dxa" w:w="60"/>
              <w:left w:type="dxa" w:w="100"/>
              <w:bottom w:type="dxa" w:w="60"/>
              <w:right w:type="dxa" w:w="100"/>
            </w:tcMar>
            <w:vAlign w:val="center"/>
          </w:tcPr>
          <w:p>
            <w:pPr>
              <w:jc w:val="center"/>
            </w:pPr>
            <w:r>
              <w:rPr>
                <w:b w:val="false"/>
                <w:bCs w:val="false"/>
                <w:color w:val="000000"/>
                <w:sz w:val="20"/>
                <w:szCs w:val="20"/>
              </w:rPr>
              <w:t xml:space="preserve">Core embed_watermark() / extract_watermark() — DWT + DCT + SVD logic</w:t>
            </w:r>
          </w:p>
        </w:tc>
      </w:tr>
      <w:tr>
        <w:tc>
          <w:tcPr>
            <w:tcW w:type="dxa" w:w="3200"/>
            <w:shd w:fill="FFFFFF" w:val="clear"/>
            <w:tcMar>
              <w:top w:type="dxa" w:w="60"/>
              <w:left w:type="dxa" w:w="100"/>
              <w:bottom w:type="dxa" w:w="60"/>
              <w:right w:type="dxa" w:w="100"/>
            </w:tcMar>
            <w:vAlign w:val="center"/>
          </w:tcPr>
          <w:p>
            <w:pPr>
              <w:jc w:val="center"/>
            </w:pPr>
            <w:r>
              <w:rPr>
                <w:b w:val="false"/>
                <w:bCs w:val="false"/>
                <w:color w:val="000000"/>
                <w:sz w:val="20"/>
                <w:szCs w:val="20"/>
              </w:rPr>
              <w:t xml:space="preserve">metrics.py</w:t>
            </w:r>
          </w:p>
        </w:tc>
        <w:tc>
          <w:tcPr>
            <w:tcW w:type="dxa" w:w="5800"/>
            <w:shd w:fill="FFFFFF" w:val="clear"/>
            <w:tcMar>
              <w:top w:type="dxa" w:w="60"/>
              <w:left w:type="dxa" w:w="100"/>
              <w:bottom w:type="dxa" w:w="60"/>
              <w:right w:type="dxa" w:w="100"/>
            </w:tcMar>
            <w:vAlign w:val="center"/>
          </w:tcPr>
          <w:p>
            <w:pPr>
              <w:jc w:val="center"/>
            </w:pPr>
            <w:r>
              <w:rPr>
                <w:b w:val="false"/>
                <w:bCs w:val="false"/>
                <w:color w:val="000000"/>
                <w:sz w:val="20"/>
                <w:szCs w:val="20"/>
              </w:rPr>
              <w:t xml:space="preserve">PSNR, SSIM, Normalized Correlation, Bit Error Rate</w:t>
            </w:r>
          </w:p>
        </w:tc>
      </w:tr>
      <w:tr>
        <w:tc>
          <w:tcPr>
            <w:tcW w:type="dxa" w:w="3200"/>
            <w:shd w:fill="F2F6FA" w:val="clear"/>
            <w:tcMar>
              <w:top w:type="dxa" w:w="60"/>
              <w:left w:type="dxa" w:w="100"/>
              <w:bottom w:type="dxa" w:w="60"/>
              <w:right w:type="dxa" w:w="100"/>
            </w:tcMar>
            <w:vAlign w:val="center"/>
          </w:tcPr>
          <w:p>
            <w:pPr>
              <w:jc w:val="center"/>
            </w:pPr>
            <w:r>
              <w:rPr>
                <w:b w:val="false"/>
                <w:bCs w:val="false"/>
                <w:color w:val="000000"/>
                <w:sz w:val="20"/>
                <w:szCs w:val="20"/>
              </w:rPr>
              <w:t xml:space="preserve">attacks.py</w:t>
            </w:r>
          </w:p>
        </w:tc>
        <w:tc>
          <w:tcPr>
            <w:tcW w:type="dxa" w:w="5800"/>
            <w:shd w:fill="F2F6FA" w:val="clear"/>
            <w:tcMar>
              <w:top w:type="dxa" w:w="60"/>
              <w:left w:type="dxa" w:w="100"/>
              <w:bottom w:type="dxa" w:w="60"/>
              <w:right w:type="dxa" w:w="100"/>
            </w:tcMar>
            <w:vAlign w:val="center"/>
          </w:tcPr>
          <w:p>
            <w:pPr>
              <w:jc w:val="center"/>
            </w:pPr>
            <w:r>
              <w:rPr>
                <w:b w:val="false"/>
                <w:bCs w:val="false"/>
                <w:color w:val="000000"/>
                <w:sz w:val="20"/>
                <w:szCs w:val="20"/>
              </w:rPr>
              <w:t xml:space="preserve">15-attack robustness benchmark suite</w:t>
            </w:r>
          </w:p>
        </w:tc>
      </w:tr>
      <w:tr>
        <w:tc>
          <w:tcPr>
            <w:tcW w:type="dxa" w:w="3200"/>
            <w:shd w:fill="FFFFFF" w:val="clear"/>
            <w:tcMar>
              <w:top w:type="dxa" w:w="60"/>
              <w:left w:type="dxa" w:w="100"/>
              <w:bottom w:type="dxa" w:w="60"/>
              <w:right w:type="dxa" w:w="100"/>
            </w:tcMar>
            <w:vAlign w:val="center"/>
          </w:tcPr>
          <w:p>
            <w:pPr>
              <w:jc w:val="center"/>
            </w:pPr>
            <w:r>
              <w:rPr>
                <w:b w:val="false"/>
                <w:bCs w:val="false"/>
                <w:color w:val="000000"/>
                <w:sz w:val="20"/>
                <w:szCs w:val="20"/>
              </w:rPr>
              <w:t xml:space="preserve">run_experiment.py</w:t>
            </w:r>
          </w:p>
        </w:tc>
        <w:tc>
          <w:tcPr>
            <w:tcW w:type="dxa" w:w="5800"/>
            <w:shd w:fill="FFFFFF" w:val="clear"/>
            <w:tcMar>
              <w:top w:type="dxa" w:w="60"/>
              <w:left w:type="dxa" w:w="100"/>
              <w:bottom w:type="dxa" w:w="60"/>
              <w:right w:type="dxa" w:w="100"/>
            </w:tcMar>
            <w:vAlign w:val="center"/>
          </w:tcPr>
          <w:p>
            <w:pPr>
              <w:jc w:val="center"/>
            </w:pPr>
            <w:r>
              <w:rPr>
                <w:b w:val="false"/>
                <w:bCs w:val="false"/>
                <w:color w:val="000000"/>
                <w:sz w:val="20"/>
                <w:szCs w:val="20"/>
              </w:rPr>
              <w:t xml:space="preserve">End-to-end pipeline: load data, embed, attack, extract, evaluate, plot</w:t>
            </w:r>
          </w:p>
        </w:tc>
      </w:tr>
      <w:tr>
        <w:tc>
          <w:tcPr>
            <w:tcW w:type="dxa" w:w="3200"/>
            <w:shd w:fill="F2F6FA" w:val="clear"/>
            <w:tcMar>
              <w:top w:type="dxa" w:w="60"/>
              <w:left w:type="dxa" w:w="100"/>
              <w:bottom w:type="dxa" w:w="60"/>
              <w:right w:type="dxa" w:w="100"/>
            </w:tcMar>
            <w:vAlign w:val="center"/>
          </w:tcPr>
          <w:p>
            <w:pPr>
              <w:jc w:val="center"/>
            </w:pPr>
            <w:r>
              <w:rPr>
                <w:b w:val="false"/>
                <w:bCs w:val="false"/>
                <w:color w:val="000000"/>
                <w:sz w:val="20"/>
                <w:szCs w:val="20"/>
              </w:rPr>
              <w:t xml:space="preserve">make_diagram.py</w:t>
            </w:r>
          </w:p>
        </w:tc>
        <w:tc>
          <w:tcPr>
            <w:tcW w:type="dxa" w:w="5800"/>
            <w:shd w:fill="F2F6FA" w:val="clear"/>
            <w:tcMar>
              <w:top w:type="dxa" w:w="60"/>
              <w:left w:type="dxa" w:w="100"/>
              <w:bottom w:type="dxa" w:w="60"/>
              <w:right w:type="dxa" w:w="100"/>
            </w:tcMar>
            <w:vAlign w:val="center"/>
          </w:tcPr>
          <w:p>
            <w:pPr>
              <w:jc w:val="center"/>
            </w:pPr>
            <w:r>
              <w:rPr>
                <w:b w:val="false"/>
                <w:bCs w:val="false"/>
                <w:color w:val="000000"/>
                <w:sz w:val="20"/>
                <w:szCs w:val="20"/>
              </w:rPr>
              <w:t xml:space="preserve">Architecture diagram generation</w:t>
            </w:r>
          </w:p>
        </w:tc>
      </w:tr>
    </w:tbl>
    <w:p>
      <w:pPr>
        <w:pStyle w:val="Heading2"/>
        <w:spacing w:after="120" w:before="240"/>
      </w:pPr>
      <w:r>
        <w:t xml:space="preserve">4.4 Key Implementation Excerpt</w:t>
      </w:r>
    </w:p>
    <w:p>
      <w:pPr>
        <w:spacing w:after="160" w:line="300"/>
      </w:pPr>
      <w:r>
        <w:rPr>
          <w:b/>
          <w:bCs/>
        </w:rPr>
        <w:t xml:space="preserve">Embedding rule (core of watermark_core.py):</w:t>
      </w:r>
    </w:p>
    <w:p>
      <w:pPr>
        <w:shd w:fill="F4F4F4" w:val="clear"/>
        <w:spacing w:after="200" w:before="100"/>
      </w:pPr>
      <w:r>
        <w:rPr>
          <w:rFonts w:ascii="Consolas" w:cs="Consolas" w:eastAsia="Consolas" w:hAnsi="Consolas"/>
          <w:sz w:val="19"/>
          <w:szCs w:val="19"/>
        </w:rPr>
        <w:t xml:space="preserve">U, S, Vt = np.linalg.svd(target_dct, full_matrices=False)
Uw, Sw, Vtw = np.linalg.svd(wm_resized, full_matrices=False)
S_mod = S + alpha * Sw
target_dct_mod = (U * S_mod) @ Vt</w:t>
      </w:r>
    </w:p>
    <w:p>
      <w:pPr>
        <w:pStyle w:val="Heading1"/>
        <w:spacing w:after="160" w:before="320"/>
      </w:pPr>
      <w:r>
        <w:t xml:space="preserve">5. Results and Discussion</w:t>
      </w:r>
    </w:p>
    <w:p>
      <w:pPr>
        <w:pStyle w:val="Heading2"/>
        <w:spacing w:after="120" w:before="240"/>
      </w:pPr>
      <w:r>
        <w:t xml:space="preserve">5.1 Imperceptibility</w:t>
      </w:r>
    </w:p>
    <w:p>
      <w:pPr>
        <w:spacing w:after="160" w:line="300"/>
      </w:pPr>
      <w:r>
        <w:t xml:space="preserve">Across both host images at the operating point α = 0.1, the watermarked images achieved a mean PSNR of 35.637 dB and mean SSIM of 0.9956 — both well within the range considered visually imperceptible (PSNR &gt; 30 dB, SSIM &gt; 0.98) in the watermarking literature.</w:t>
      </w:r>
    </w:p>
    <w:p>
      <w:pPr>
        <w:spacing w:after="60" w:before="160"/>
        <w:jc w:val="center"/>
      </w:pPr>
      <w:r>
        <w:drawing>
          <wp:inline distT="0" distB="0" distL="0" distR="0">
            <wp:extent cx="57150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000250"/>
                    </a:xfrm>
                    <a:prstGeom prst="rect">
                      <a:avLst/>
                    </a:prstGeom>
                  </pic:spPr>
                </pic:pic>
              </a:graphicData>
            </a:graphic>
          </wp:inline>
        </w:drawing>
      </w:r>
    </w:p>
    <w:p>
      <w:pPr>
        <w:spacing w:after="240"/>
        <w:jc w:val="center"/>
      </w:pPr>
      <w:r>
        <w:rPr>
          <w:i/>
          <w:iCs/>
          <w:color w:val="444444"/>
          <w:sz w:val="20"/>
          <w:szCs w:val="20"/>
        </w:rPr>
        <w:t xml:space="preserve">Figure 5.1: Host, watermarked, and amplified absolute-difference images (cameraman). The difference is visually near-zero, confirming imperceptibility.</w:t>
      </w:r>
    </w:p>
    <w:p>
      <w:pPr>
        <w:spacing w:after="60" w:before="160"/>
        <w:jc w:val="center"/>
      </w:pPr>
      <w:r>
        <w:drawing>
          <wp:inline distT="0" distB="0" distL="0" distR="0">
            <wp:extent cx="57150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000250"/>
                    </a:xfrm>
                    <a:prstGeom prst="rect">
                      <a:avLst/>
                    </a:prstGeom>
                  </pic:spPr>
                </pic:pic>
              </a:graphicData>
            </a:graphic>
          </wp:inline>
        </w:drawing>
      </w:r>
    </w:p>
    <w:p>
      <w:pPr>
        <w:spacing w:after="240"/>
        <w:jc w:val="center"/>
      </w:pPr>
      <w:r>
        <w:rPr>
          <w:i/>
          <w:iCs/>
          <w:color w:val="444444"/>
          <w:sz w:val="20"/>
          <w:szCs w:val="20"/>
        </w:rPr>
        <w:t xml:space="preserve">Figure 5.2: Host, watermarked, and difference images (astronaut, grayscale)</w:t>
      </w:r>
    </w:p>
    <w:p>
      <w:pPr>
        <w:pStyle w:val="Heading2"/>
        <w:spacing w:after="120" w:before="240"/>
      </w:pPr>
      <w:r>
        <w:t xml:space="preserve">5.2 Robustness Under Attack</w:t>
      </w:r>
    </w:p>
    <w:p>
      <w:pPr>
        <w:spacing w:after="160" w:line="300"/>
      </w:pPr>
      <w:r>
        <w:t xml:space="preserve">The full attack suite was applied to both host images (30 total trials). 25 of 30 trials achieved NC above the 0.75 recognizability threshold, with a mean NC of 0.832 across all attacks including the deliberately severe ones.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1300"/>
        <w:gridCol w:w="1300"/>
        <w:gridCol w:w="1300"/>
      </w:tblGrid>
      <w:tr>
        <w:trPr>
          <w:tblHeader/>
        </w:trPr>
        <w:tc>
          <w:tcPr>
            <w:tcW w:type="dxa" w:w="3200"/>
            <w:shd w:fill="1F4E79" w:val="clear"/>
            <w:tcMar>
              <w:top w:type="dxa" w:w="60"/>
              <w:left w:type="dxa" w:w="100"/>
              <w:bottom w:type="dxa" w:w="60"/>
              <w:right w:type="dxa" w:w="100"/>
            </w:tcMar>
            <w:vAlign w:val="center"/>
          </w:tcPr>
          <w:p>
            <w:pPr>
              <w:jc w:val="center"/>
            </w:pPr>
            <w:r>
              <w:rPr>
                <w:b/>
                <w:bCs/>
                <w:color w:val="FFFFFF"/>
                <w:sz w:val="20"/>
                <w:szCs w:val="20"/>
              </w:rPr>
              <w:t xml:space="preserve">Attack</w:t>
            </w:r>
          </w:p>
        </w:tc>
        <w:tc>
          <w:tcPr>
            <w:tcW w:type="dxa" w:w="1500"/>
            <w:shd w:fill="1F4E79" w:val="clear"/>
            <w:tcMar>
              <w:top w:type="dxa" w:w="60"/>
              <w:left w:type="dxa" w:w="100"/>
              <w:bottom w:type="dxa" w:w="60"/>
              <w:right w:type="dxa" w:w="100"/>
            </w:tcMar>
            <w:vAlign w:val="center"/>
          </w:tcPr>
          <w:p>
            <w:pPr>
              <w:jc w:val="center"/>
            </w:pPr>
            <w:r>
              <w:rPr>
                <w:b/>
                <w:bCs/>
                <w:color w:val="FFFFFF"/>
                <w:sz w:val="20"/>
                <w:szCs w:val="20"/>
              </w:rPr>
              <w:t xml:space="preserve">PSNR (dB)</w:t>
            </w:r>
          </w:p>
        </w:tc>
        <w:tc>
          <w:tcPr>
            <w:tcW w:type="dxa" w:w="1300"/>
            <w:shd w:fill="1F4E79" w:val="clear"/>
            <w:tcMar>
              <w:top w:type="dxa" w:w="60"/>
              <w:left w:type="dxa" w:w="100"/>
              <w:bottom w:type="dxa" w:w="60"/>
              <w:right w:type="dxa" w:w="100"/>
            </w:tcMar>
            <w:vAlign w:val="center"/>
          </w:tcPr>
          <w:p>
            <w:pPr>
              <w:jc w:val="center"/>
            </w:pPr>
            <w:r>
              <w:rPr>
                <w:b/>
                <w:bCs/>
                <w:color w:val="FFFFFF"/>
                <w:sz w:val="20"/>
                <w:szCs w:val="20"/>
              </w:rPr>
              <w:t xml:space="preserve">SSIM</w:t>
            </w:r>
          </w:p>
        </w:tc>
        <w:tc>
          <w:tcPr>
            <w:tcW w:type="dxa" w:w="1300"/>
            <w:shd w:fill="1F4E79" w:val="clear"/>
            <w:tcMar>
              <w:top w:type="dxa" w:w="60"/>
              <w:left w:type="dxa" w:w="100"/>
              <w:bottom w:type="dxa" w:w="60"/>
              <w:right w:type="dxa" w:w="100"/>
            </w:tcMar>
            <w:vAlign w:val="center"/>
          </w:tcPr>
          <w:p>
            <w:pPr>
              <w:jc w:val="center"/>
            </w:pPr>
            <w:r>
              <w:rPr>
                <w:b/>
                <w:bCs/>
                <w:color w:val="FFFFFF"/>
                <w:sz w:val="20"/>
                <w:szCs w:val="20"/>
              </w:rPr>
              <w:t xml:space="preserve">NC</w:t>
            </w:r>
          </w:p>
        </w:tc>
        <w:tc>
          <w:tcPr>
            <w:tcW w:type="dxa" w:w="1300"/>
            <w:shd w:fill="1F4E79" w:val="clear"/>
            <w:tcMar>
              <w:top w:type="dxa" w:w="60"/>
              <w:left w:type="dxa" w:w="100"/>
              <w:bottom w:type="dxa" w:w="60"/>
              <w:right w:type="dxa" w:w="100"/>
            </w:tcMar>
            <w:vAlign w:val="center"/>
          </w:tcPr>
          <w:p>
            <w:pPr>
              <w:jc w:val="center"/>
            </w:pPr>
            <w:r>
              <w:rPr>
                <w:b/>
                <w:bCs/>
                <w:color w:val="FFFFFF"/>
                <w:sz w:val="20"/>
                <w:szCs w:val="20"/>
              </w:rPr>
              <w:t xml:space="preserve">BER</w:t>
            </w:r>
          </w:p>
        </w:tc>
      </w:tr>
      <w:tr>
        <w:tc>
          <w:tcPr>
            <w:tcW w:type="dxa" w:w="3200"/>
            <w:shd w:fill="F2F6FA" w:val="clear"/>
            <w:tcMar>
              <w:top w:type="dxa" w:w="60"/>
              <w:left w:type="dxa" w:w="100"/>
              <w:bottom w:type="dxa" w:w="60"/>
              <w:right w:type="dxa" w:w="100"/>
            </w:tcMar>
            <w:vAlign w:val="center"/>
          </w:tcPr>
          <w:p>
            <w:pPr>
              <w:jc w:val="center"/>
            </w:pPr>
            <w:r>
              <w:rPr>
                <w:b w:val="false"/>
                <w:bCs w:val="false"/>
                <w:color w:val="000000"/>
                <w:sz w:val="20"/>
                <w:szCs w:val="20"/>
              </w:rPr>
              <w:t xml:space="preserve">No Attack</w:t>
            </w:r>
          </w:p>
        </w:tc>
        <w:tc>
          <w:tcPr>
            <w:tcW w:type="dxa" w:w="1500"/>
            <w:shd w:fill="F2F6FA" w:val="clear"/>
            <w:tcMar>
              <w:top w:type="dxa" w:w="60"/>
              <w:left w:type="dxa" w:w="100"/>
              <w:bottom w:type="dxa" w:w="60"/>
              <w:right w:type="dxa" w:w="100"/>
            </w:tcMar>
            <w:vAlign w:val="center"/>
          </w:tcPr>
          <w:p>
            <w:pPr>
              <w:jc w:val="center"/>
            </w:pPr>
            <w:r>
              <w:rPr>
                <w:b w:val="false"/>
                <w:bCs w:val="false"/>
                <w:color w:val="000000"/>
                <w:sz w:val="20"/>
                <w:szCs w:val="20"/>
              </w:rPr>
              <w:t xml:space="preserve">35.62</w:t>
            </w:r>
          </w:p>
        </w:tc>
        <w:tc>
          <w:tcPr>
            <w:tcW w:type="dxa" w:w="1300"/>
            <w:shd w:fill="F2F6FA" w:val="clear"/>
            <w:tcMar>
              <w:top w:type="dxa" w:w="60"/>
              <w:left w:type="dxa" w:w="100"/>
              <w:bottom w:type="dxa" w:w="60"/>
              <w:right w:type="dxa" w:w="100"/>
            </w:tcMar>
            <w:vAlign w:val="center"/>
          </w:tcPr>
          <w:p>
            <w:pPr>
              <w:jc w:val="center"/>
            </w:pPr>
            <w:r>
              <w:rPr>
                <w:b w:val="false"/>
                <w:bCs w:val="false"/>
                <w:color w:val="000000"/>
                <w:sz w:val="20"/>
                <w:szCs w:val="20"/>
              </w:rPr>
              <w:t xml:space="preserve">0.9981</w:t>
            </w:r>
          </w:p>
        </w:tc>
        <w:tc>
          <w:tcPr>
            <w:tcW w:type="dxa" w:w="1300"/>
            <w:shd w:fill="F2F6FA" w:val="clear"/>
            <w:tcMar>
              <w:top w:type="dxa" w:w="60"/>
              <w:left w:type="dxa" w:w="100"/>
              <w:bottom w:type="dxa" w:w="60"/>
              <w:right w:type="dxa" w:w="100"/>
            </w:tcMar>
            <w:vAlign w:val="center"/>
          </w:tcPr>
          <w:p>
            <w:pPr>
              <w:jc w:val="center"/>
            </w:pPr>
            <w:r>
              <w:rPr>
                <w:b w:val="false"/>
                <w:bCs w:val="false"/>
                <w:color w:val="000000"/>
                <w:sz w:val="20"/>
                <w:szCs w:val="20"/>
              </w:rPr>
              <w:t xml:space="preserve">0.981</w:t>
            </w:r>
          </w:p>
        </w:tc>
        <w:tc>
          <w:tcPr>
            <w:tcW w:type="dxa" w:w="1300"/>
            <w:shd w:fill="F2F6FA" w:val="clear"/>
            <w:tcMar>
              <w:top w:type="dxa" w:w="60"/>
              <w:left w:type="dxa" w:w="100"/>
              <w:bottom w:type="dxa" w:w="60"/>
              <w:right w:type="dxa" w:w="100"/>
            </w:tcMar>
            <w:vAlign w:val="center"/>
          </w:tcPr>
          <w:p>
            <w:pPr>
              <w:jc w:val="center"/>
            </w:pPr>
            <w:r>
              <w:rPr>
                <w:b w:val="false"/>
                <w:bCs w:val="false"/>
                <w:color w:val="000000"/>
                <w:sz w:val="20"/>
                <w:szCs w:val="20"/>
              </w:rPr>
              <w:t xml:space="preserve">0.0007</w:t>
            </w:r>
          </w:p>
        </w:tc>
      </w:tr>
      <w:tr>
        <w:tc>
          <w:tcPr>
            <w:tcW w:type="dxa" w:w="3200"/>
            <w:shd w:fill="FFFFFF" w:val="clear"/>
            <w:tcMar>
              <w:top w:type="dxa" w:w="60"/>
              <w:left w:type="dxa" w:w="100"/>
              <w:bottom w:type="dxa" w:w="60"/>
              <w:right w:type="dxa" w:w="100"/>
            </w:tcMar>
            <w:vAlign w:val="center"/>
          </w:tcPr>
          <w:p>
            <w:pPr>
              <w:jc w:val="center"/>
            </w:pPr>
            <w:r>
              <w:rPr>
                <w:b w:val="false"/>
                <w:bCs w:val="false"/>
                <w:color w:val="000000"/>
                <w:sz w:val="20"/>
                <w:szCs w:val="20"/>
              </w:rPr>
              <w:t xml:space="preserve">JPEG Q=90</w:t>
            </w:r>
          </w:p>
        </w:tc>
        <w:tc>
          <w:tcPr>
            <w:tcW w:type="dxa" w:w="1500"/>
            <w:shd w:fill="FFFFFF" w:val="clear"/>
            <w:tcMar>
              <w:top w:type="dxa" w:w="60"/>
              <w:left w:type="dxa" w:w="100"/>
              <w:bottom w:type="dxa" w:w="60"/>
              <w:right w:type="dxa" w:w="100"/>
            </w:tcMar>
            <w:vAlign w:val="center"/>
          </w:tcPr>
          <w:p>
            <w:pPr>
              <w:jc w:val="center"/>
            </w:pPr>
            <w:r>
              <w:rPr>
                <w:b w:val="false"/>
                <w:bCs w:val="false"/>
                <w:color w:val="000000"/>
                <w:sz w:val="20"/>
                <w:szCs w:val="20"/>
              </w:rPr>
              <w:t xml:space="preserve">35.62</w:t>
            </w:r>
          </w:p>
        </w:tc>
        <w:tc>
          <w:tcPr>
            <w:tcW w:type="dxa" w:w="1300"/>
            <w:shd w:fill="FFFFFF" w:val="clear"/>
            <w:tcMar>
              <w:top w:type="dxa" w:w="60"/>
              <w:left w:type="dxa" w:w="100"/>
              <w:bottom w:type="dxa" w:w="60"/>
              <w:right w:type="dxa" w:w="100"/>
            </w:tcMar>
            <w:vAlign w:val="center"/>
          </w:tcPr>
          <w:p>
            <w:pPr>
              <w:jc w:val="center"/>
            </w:pPr>
            <w:r>
              <w:rPr>
                <w:b w:val="false"/>
                <w:bCs w:val="false"/>
                <w:color w:val="000000"/>
                <w:sz w:val="20"/>
                <w:szCs w:val="20"/>
              </w:rPr>
              <w:t xml:space="preserve">0.9981</w:t>
            </w:r>
          </w:p>
        </w:tc>
        <w:tc>
          <w:tcPr>
            <w:tcW w:type="dxa" w:w="1300"/>
            <w:shd w:fill="FFFFFF" w:val="clear"/>
            <w:tcMar>
              <w:top w:type="dxa" w:w="60"/>
              <w:left w:type="dxa" w:w="100"/>
              <w:bottom w:type="dxa" w:w="60"/>
              <w:right w:type="dxa" w:w="100"/>
            </w:tcMar>
            <w:vAlign w:val="center"/>
          </w:tcPr>
          <w:p>
            <w:pPr>
              <w:jc w:val="center"/>
            </w:pPr>
            <w:r>
              <w:rPr>
                <w:b w:val="false"/>
                <w:bCs w:val="false"/>
                <w:color w:val="000000"/>
                <w:sz w:val="20"/>
                <w:szCs w:val="20"/>
              </w:rPr>
              <w:t xml:space="preserve">0.9847</w:t>
            </w:r>
          </w:p>
        </w:tc>
        <w:tc>
          <w:tcPr>
            <w:tcW w:type="dxa" w:w="1300"/>
            <w:shd w:fill="FFFFFF" w:val="clear"/>
            <w:tcMar>
              <w:top w:type="dxa" w:w="60"/>
              <w:left w:type="dxa" w:w="100"/>
              <w:bottom w:type="dxa" w:w="60"/>
              <w:right w:type="dxa" w:w="100"/>
            </w:tcMar>
            <w:vAlign w:val="center"/>
          </w:tcPr>
          <w:p>
            <w:pPr>
              <w:jc w:val="center"/>
            </w:pPr>
            <w:r>
              <w:rPr>
                <w:b w:val="false"/>
                <w:bCs w:val="false"/>
                <w:color w:val="000000"/>
                <w:sz w:val="20"/>
                <w:szCs w:val="20"/>
              </w:rPr>
              <w:t xml:space="preserve">0.0007</w:t>
            </w:r>
          </w:p>
        </w:tc>
      </w:tr>
      <w:tr>
        <w:tc>
          <w:tcPr>
            <w:tcW w:type="dxa" w:w="3200"/>
            <w:shd w:fill="F2F6FA" w:val="clear"/>
            <w:tcMar>
              <w:top w:type="dxa" w:w="60"/>
              <w:left w:type="dxa" w:w="100"/>
              <w:bottom w:type="dxa" w:w="60"/>
              <w:right w:type="dxa" w:w="100"/>
            </w:tcMar>
            <w:vAlign w:val="center"/>
          </w:tcPr>
          <w:p>
            <w:pPr>
              <w:jc w:val="center"/>
            </w:pPr>
            <w:r>
              <w:rPr>
                <w:b w:val="false"/>
                <w:bCs w:val="false"/>
                <w:color w:val="000000"/>
                <w:sz w:val="20"/>
                <w:szCs w:val="20"/>
              </w:rPr>
              <w:t xml:space="preserve">JPEG Q=50</w:t>
            </w:r>
          </w:p>
        </w:tc>
        <w:tc>
          <w:tcPr>
            <w:tcW w:type="dxa" w:w="1500"/>
            <w:shd w:fill="F2F6FA" w:val="clear"/>
            <w:tcMar>
              <w:top w:type="dxa" w:w="60"/>
              <w:left w:type="dxa" w:w="100"/>
              <w:bottom w:type="dxa" w:w="60"/>
              <w:right w:type="dxa" w:w="100"/>
            </w:tcMar>
            <w:vAlign w:val="center"/>
          </w:tcPr>
          <w:p>
            <w:pPr>
              <w:jc w:val="center"/>
            </w:pPr>
            <w:r>
              <w:rPr>
                <w:b w:val="false"/>
                <w:bCs w:val="false"/>
                <w:color w:val="000000"/>
                <w:sz w:val="20"/>
                <w:szCs w:val="20"/>
              </w:rPr>
              <w:t xml:space="preserve">35.62</w:t>
            </w:r>
          </w:p>
        </w:tc>
        <w:tc>
          <w:tcPr>
            <w:tcW w:type="dxa" w:w="1300"/>
            <w:shd w:fill="F2F6FA" w:val="clear"/>
            <w:tcMar>
              <w:top w:type="dxa" w:w="60"/>
              <w:left w:type="dxa" w:w="100"/>
              <w:bottom w:type="dxa" w:w="60"/>
              <w:right w:type="dxa" w:w="100"/>
            </w:tcMar>
            <w:vAlign w:val="center"/>
          </w:tcPr>
          <w:p>
            <w:pPr>
              <w:jc w:val="center"/>
            </w:pPr>
            <w:r>
              <w:rPr>
                <w:b w:val="false"/>
                <w:bCs w:val="false"/>
                <w:color w:val="000000"/>
                <w:sz w:val="20"/>
                <w:szCs w:val="20"/>
              </w:rPr>
              <w:t xml:space="preserve">0.9981</w:t>
            </w:r>
          </w:p>
        </w:tc>
        <w:tc>
          <w:tcPr>
            <w:tcW w:type="dxa" w:w="1300"/>
            <w:shd w:fill="F2F6FA" w:val="clear"/>
            <w:tcMar>
              <w:top w:type="dxa" w:w="60"/>
              <w:left w:type="dxa" w:w="100"/>
              <w:bottom w:type="dxa" w:w="60"/>
              <w:right w:type="dxa" w:w="100"/>
            </w:tcMar>
            <w:vAlign w:val="center"/>
          </w:tcPr>
          <w:p>
            <w:pPr>
              <w:jc w:val="center"/>
            </w:pPr>
            <w:r>
              <w:rPr>
                <w:b w:val="false"/>
                <w:bCs w:val="false"/>
                <w:color w:val="000000"/>
                <w:sz w:val="20"/>
                <w:szCs w:val="20"/>
              </w:rPr>
              <w:t xml:space="preserve">0.9844</w:t>
            </w:r>
          </w:p>
        </w:tc>
        <w:tc>
          <w:tcPr>
            <w:tcW w:type="dxa" w:w="1300"/>
            <w:shd w:fill="F2F6FA" w:val="clear"/>
            <w:tcMar>
              <w:top w:type="dxa" w:w="60"/>
              <w:left w:type="dxa" w:w="100"/>
              <w:bottom w:type="dxa" w:w="60"/>
              <w:right w:type="dxa" w:w="100"/>
            </w:tcMar>
            <w:vAlign w:val="center"/>
          </w:tcPr>
          <w:p>
            <w:pPr>
              <w:jc w:val="center"/>
            </w:pPr>
            <w:r>
              <w:rPr>
                <w:b w:val="false"/>
                <w:bCs w:val="false"/>
                <w:color w:val="000000"/>
                <w:sz w:val="20"/>
                <w:szCs w:val="20"/>
              </w:rPr>
              <w:t xml:space="preserve">0.0007</w:t>
            </w:r>
          </w:p>
        </w:tc>
      </w:tr>
      <w:tr>
        <w:tc>
          <w:tcPr>
            <w:tcW w:type="dxa" w:w="3200"/>
            <w:shd w:fill="FFFFFF" w:val="clear"/>
            <w:tcMar>
              <w:top w:type="dxa" w:w="60"/>
              <w:left w:type="dxa" w:w="100"/>
              <w:bottom w:type="dxa" w:w="60"/>
              <w:right w:type="dxa" w:w="100"/>
            </w:tcMar>
            <w:vAlign w:val="center"/>
          </w:tcPr>
          <w:p>
            <w:pPr>
              <w:jc w:val="center"/>
            </w:pPr>
            <w:r>
              <w:rPr>
                <w:b w:val="false"/>
                <w:bCs w:val="false"/>
                <w:color w:val="000000"/>
                <w:sz w:val="20"/>
                <w:szCs w:val="20"/>
              </w:rPr>
              <w:t xml:space="preserve">JPEG Q=20</w:t>
            </w:r>
          </w:p>
        </w:tc>
        <w:tc>
          <w:tcPr>
            <w:tcW w:type="dxa" w:w="1500"/>
            <w:shd w:fill="FFFFFF" w:val="clear"/>
            <w:tcMar>
              <w:top w:type="dxa" w:w="60"/>
              <w:left w:type="dxa" w:w="100"/>
              <w:bottom w:type="dxa" w:w="60"/>
              <w:right w:type="dxa" w:w="100"/>
            </w:tcMar>
            <w:vAlign w:val="center"/>
          </w:tcPr>
          <w:p>
            <w:pPr>
              <w:jc w:val="center"/>
            </w:pPr>
            <w:r>
              <w:rPr>
                <w:b w:val="false"/>
                <w:bCs w:val="false"/>
                <w:color w:val="000000"/>
                <w:sz w:val="20"/>
                <w:szCs w:val="20"/>
              </w:rPr>
              <w:t xml:space="preserve">35.62</w:t>
            </w:r>
          </w:p>
        </w:tc>
        <w:tc>
          <w:tcPr>
            <w:tcW w:type="dxa" w:w="1300"/>
            <w:shd w:fill="FFFFFF" w:val="clear"/>
            <w:tcMar>
              <w:top w:type="dxa" w:w="60"/>
              <w:left w:type="dxa" w:w="100"/>
              <w:bottom w:type="dxa" w:w="60"/>
              <w:right w:type="dxa" w:w="100"/>
            </w:tcMar>
            <w:vAlign w:val="center"/>
          </w:tcPr>
          <w:p>
            <w:pPr>
              <w:jc w:val="center"/>
            </w:pPr>
            <w:r>
              <w:rPr>
                <w:b w:val="false"/>
                <w:bCs w:val="false"/>
                <w:color w:val="000000"/>
                <w:sz w:val="20"/>
                <w:szCs w:val="20"/>
              </w:rPr>
              <w:t xml:space="preserve">0.9981</w:t>
            </w:r>
          </w:p>
        </w:tc>
        <w:tc>
          <w:tcPr>
            <w:tcW w:type="dxa" w:w="1300"/>
            <w:shd w:fill="FFFFFF" w:val="clear"/>
            <w:tcMar>
              <w:top w:type="dxa" w:w="60"/>
              <w:left w:type="dxa" w:w="100"/>
              <w:bottom w:type="dxa" w:w="60"/>
              <w:right w:type="dxa" w:w="100"/>
            </w:tcMar>
            <w:vAlign w:val="center"/>
          </w:tcPr>
          <w:p>
            <w:pPr>
              <w:jc w:val="center"/>
            </w:pPr>
            <w:r>
              <w:rPr>
                <w:b w:val="false"/>
                <w:bCs w:val="false"/>
                <w:color w:val="000000"/>
                <w:sz w:val="20"/>
                <w:szCs w:val="20"/>
              </w:rPr>
              <w:t xml:space="preserve">0.984</w:t>
            </w:r>
          </w:p>
        </w:tc>
        <w:tc>
          <w:tcPr>
            <w:tcW w:type="dxa" w:w="1300"/>
            <w:shd w:fill="FFFFFF" w:val="clear"/>
            <w:tcMar>
              <w:top w:type="dxa" w:w="60"/>
              <w:left w:type="dxa" w:w="100"/>
              <w:bottom w:type="dxa" w:w="60"/>
              <w:right w:type="dxa" w:w="100"/>
            </w:tcMar>
            <w:vAlign w:val="center"/>
          </w:tcPr>
          <w:p>
            <w:pPr>
              <w:jc w:val="center"/>
            </w:pPr>
            <w:r>
              <w:rPr>
                <w:b w:val="false"/>
                <w:bCs w:val="false"/>
                <w:color w:val="000000"/>
                <w:sz w:val="20"/>
                <w:szCs w:val="20"/>
              </w:rPr>
              <w:t xml:space="preserve">0.0005</w:t>
            </w:r>
          </w:p>
        </w:tc>
      </w:tr>
      <w:tr>
        <w:tc>
          <w:tcPr>
            <w:tcW w:type="dxa" w:w="3200"/>
            <w:shd w:fill="F2F6FA" w:val="clear"/>
            <w:tcMar>
              <w:top w:type="dxa" w:w="60"/>
              <w:left w:type="dxa" w:w="100"/>
              <w:bottom w:type="dxa" w:w="60"/>
              <w:right w:type="dxa" w:w="100"/>
            </w:tcMar>
            <w:vAlign w:val="center"/>
          </w:tcPr>
          <w:p>
            <w:pPr>
              <w:jc w:val="center"/>
            </w:pPr>
            <w:r>
              <w:rPr>
                <w:b w:val="false"/>
                <w:bCs w:val="false"/>
                <w:color w:val="000000"/>
                <w:sz w:val="20"/>
                <w:szCs w:val="20"/>
              </w:rPr>
              <w:t xml:space="preserve">Gaussian Noise (var=0.005)</w:t>
            </w:r>
          </w:p>
        </w:tc>
        <w:tc>
          <w:tcPr>
            <w:tcW w:type="dxa" w:w="1500"/>
            <w:shd w:fill="F2F6FA" w:val="clear"/>
            <w:tcMar>
              <w:top w:type="dxa" w:w="60"/>
              <w:left w:type="dxa" w:w="100"/>
              <w:bottom w:type="dxa" w:w="60"/>
              <w:right w:type="dxa" w:w="100"/>
            </w:tcMar>
            <w:vAlign w:val="center"/>
          </w:tcPr>
          <w:p>
            <w:pPr>
              <w:jc w:val="center"/>
            </w:pPr>
            <w:r>
              <w:rPr>
                <w:b w:val="false"/>
                <w:bCs w:val="false"/>
                <w:color w:val="000000"/>
                <w:sz w:val="20"/>
                <w:szCs w:val="20"/>
              </w:rPr>
              <w:t xml:space="preserve">35.62</w:t>
            </w:r>
          </w:p>
        </w:tc>
        <w:tc>
          <w:tcPr>
            <w:tcW w:type="dxa" w:w="1300"/>
            <w:shd w:fill="F2F6FA" w:val="clear"/>
            <w:tcMar>
              <w:top w:type="dxa" w:w="60"/>
              <w:left w:type="dxa" w:w="100"/>
              <w:bottom w:type="dxa" w:w="60"/>
              <w:right w:type="dxa" w:w="100"/>
            </w:tcMar>
            <w:vAlign w:val="center"/>
          </w:tcPr>
          <w:p>
            <w:pPr>
              <w:jc w:val="center"/>
            </w:pPr>
            <w:r>
              <w:rPr>
                <w:b w:val="false"/>
                <w:bCs w:val="false"/>
                <w:color w:val="000000"/>
                <w:sz w:val="20"/>
                <w:szCs w:val="20"/>
              </w:rPr>
              <w:t xml:space="preserve">0.9981</w:t>
            </w:r>
          </w:p>
        </w:tc>
        <w:tc>
          <w:tcPr>
            <w:tcW w:type="dxa" w:w="1300"/>
            <w:shd w:fill="F2F6FA" w:val="clear"/>
            <w:tcMar>
              <w:top w:type="dxa" w:w="60"/>
              <w:left w:type="dxa" w:w="100"/>
              <w:bottom w:type="dxa" w:w="60"/>
              <w:right w:type="dxa" w:w="100"/>
            </w:tcMar>
            <w:vAlign w:val="center"/>
          </w:tcPr>
          <w:p>
            <w:pPr>
              <w:jc w:val="center"/>
            </w:pPr>
            <w:r>
              <w:rPr>
                <w:b w:val="false"/>
                <w:bCs w:val="false"/>
                <w:color w:val="000000"/>
                <w:sz w:val="20"/>
                <w:szCs w:val="20"/>
              </w:rPr>
              <w:t xml:space="preserve">0.9561</w:t>
            </w:r>
          </w:p>
        </w:tc>
        <w:tc>
          <w:tcPr>
            <w:tcW w:type="dxa" w:w="1300"/>
            <w:shd w:fill="F2F6FA" w:val="clear"/>
            <w:tcMar>
              <w:top w:type="dxa" w:w="60"/>
              <w:left w:type="dxa" w:w="100"/>
              <w:bottom w:type="dxa" w:w="60"/>
              <w:right w:type="dxa" w:w="100"/>
            </w:tcMar>
            <w:vAlign w:val="center"/>
          </w:tcPr>
          <w:p>
            <w:pPr>
              <w:jc w:val="center"/>
            </w:pPr>
            <w:r>
              <w:rPr>
                <w:b w:val="false"/>
                <w:bCs w:val="false"/>
                <w:color w:val="000000"/>
                <w:sz w:val="20"/>
                <w:szCs w:val="20"/>
              </w:rPr>
              <w:t xml:space="preserve">0.0068</w:t>
            </w:r>
          </w:p>
        </w:tc>
      </w:tr>
      <w:tr>
        <w:tc>
          <w:tcPr>
            <w:tcW w:type="dxa" w:w="3200"/>
            <w:shd w:fill="FFFFFF" w:val="clear"/>
            <w:tcMar>
              <w:top w:type="dxa" w:w="60"/>
              <w:left w:type="dxa" w:w="100"/>
              <w:bottom w:type="dxa" w:w="60"/>
              <w:right w:type="dxa" w:w="100"/>
            </w:tcMar>
            <w:vAlign w:val="center"/>
          </w:tcPr>
          <w:p>
            <w:pPr>
              <w:jc w:val="center"/>
            </w:pPr>
            <w:r>
              <w:rPr>
                <w:b w:val="false"/>
                <w:bCs w:val="false"/>
                <w:color w:val="000000"/>
                <w:sz w:val="20"/>
                <w:szCs w:val="20"/>
              </w:rPr>
              <w:t xml:space="preserve">Gaussian Noise (var=0.02)</w:t>
            </w:r>
          </w:p>
        </w:tc>
        <w:tc>
          <w:tcPr>
            <w:tcW w:type="dxa" w:w="1500"/>
            <w:shd w:fill="FFFFFF" w:val="clear"/>
            <w:tcMar>
              <w:top w:type="dxa" w:w="60"/>
              <w:left w:type="dxa" w:w="100"/>
              <w:bottom w:type="dxa" w:w="60"/>
              <w:right w:type="dxa" w:w="100"/>
            </w:tcMar>
            <w:vAlign w:val="center"/>
          </w:tcPr>
          <w:p>
            <w:pPr>
              <w:jc w:val="center"/>
            </w:pPr>
            <w:r>
              <w:rPr>
                <w:b w:val="false"/>
                <w:bCs w:val="false"/>
                <w:color w:val="000000"/>
                <w:sz w:val="20"/>
                <w:szCs w:val="20"/>
              </w:rPr>
              <w:t xml:space="preserve">35.62</w:t>
            </w:r>
          </w:p>
        </w:tc>
        <w:tc>
          <w:tcPr>
            <w:tcW w:type="dxa" w:w="1300"/>
            <w:shd w:fill="FFFFFF" w:val="clear"/>
            <w:tcMar>
              <w:top w:type="dxa" w:w="60"/>
              <w:left w:type="dxa" w:w="100"/>
              <w:bottom w:type="dxa" w:w="60"/>
              <w:right w:type="dxa" w:w="100"/>
            </w:tcMar>
            <w:vAlign w:val="center"/>
          </w:tcPr>
          <w:p>
            <w:pPr>
              <w:jc w:val="center"/>
            </w:pPr>
            <w:r>
              <w:rPr>
                <w:b w:val="false"/>
                <w:bCs w:val="false"/>
                <w:color w:val="000000"/>
                <w:sz w:val="20"/>
                <w:szCs w:val="20"/>
              </w:rPr>
              <w:t xml:space="preserve">0.9981</w:t>
            </w:r>
          </w:p>
        </w:tc>
        <w:tc>
          <w:tcPr>
            <w:tcW w:type="dxa" w:w="1300"/>
            <w:shd w:fill="FFFFFF" w:val="clear"/>
            <w:tcMar>
              <w:top w:type="dxa" w:w="60"/>
              <w:left w:type="dxa" w:w="100"/>
              <w:bottom w:type="dxa" w:w="60"/>
              <w:right w:type="dxa" w:w="100"/>
            </w:tcMar>
            <w:vAlign w:val="center"/>
          </w:tcPr>
          <w:p>
            <w:pPr>
              <w:jc w:val="center"/>
            </w:pPr>
            <w:r>
              <w:rPr>
                <w:b w:val="false"/>
                <w:bCs w:val="false"/>
                <w:color w:val="000000"/>
                <w:sz w:val="20"/>
                <w:szCs w:val="20"/>
              </w:rPr>
              <w:t xml:space="preserve">0.8017</w:t>
            </w:r>
          </w:p>
        </w:tc>
        <w:tc>
          <w:tcPr>
            <w:tcW w:type="dxa" w:w="1300"/>
            <w:shd w:fill="FFFFFF" w:val="clear"/>
            <w:tcMar>
              <w:top w:type="dxa" w:w="60"/>
              <w:left w:type="dxa" w:w="100"/>
              <w:bottom w:type="dxa" w:w="60"/>
              <w:right w:type="dxa" w:w="100"/>
            </w:tcMar>
            <w:vAlign w:val="center"/>
          </w:tcPr>
          <w:p>
            <w:pPr>
              <w:jc w:val="center"/>
            </w:pPr>
            <w:r>
              <w:rPr>
                <w:b w:val="false"/>
                <w:bCs w:val="false"/>
                <w:color w:val="000000"/>
                <w:sz w:val="20"/>
                <w:szCs w:val="20"/>
              </w:rPr>
              <w:t xml:space="preserve">0.0396</w:t>
            </w:r>
          </w:p>
        </w:tc>
      </w:tr>
      <w:tr>
        <w:tc>
          <w:tcPr>
            <w:tcW w:type="dxa" w:w="3200"/>
            <w:shd w:fill="F2F6FA" w:val="clear"/>
            <w:tcMar>
              <w:top w:type="dxa" w:w="60"/>
              <w:left w:type="dxa" w:w="100"/>
              <w:bottom w:type="dxa" w:w="60"/>
              <w:right w:type="dxa" w:w="100"/>
            </w:tcMar>
            <w:vAlign w:val="center"/>
          </w:tcPr>
          <w:p>
            <w:pPr>
              <w:jc w:val="center"/>
            </w:pPr>
            <w:r>
              <w:rPr>
                <w:b w:val="false"/>
                <w:bCs w:val="false"/>
                <w:color w:val="000000"/>
                <w:sz w:val="20"/>
                <w:szCs w:val="20"/>
              </w:rPr>
              <w:t xml:space="preserve">Salt &amp; Pepper (2%)</w:t>
            </w:r>
          </w:p>
        </w:tc>
        <w:tc>
          <w:tcPr>
            <w:tcW w:type="dxa" w:w="1500"/>
            <w:shd w:fill="F2F6FA" w:val="clear"/>
            <w:tcMar>
              <w:top w:type="dxa" w:w="60"/>
              <w:left w:type="dxa" w:w="100"/>
              <w:bottom w:type="dxa" w:w="60"/>
              <w:right w:type="dxa" w:w="100"/>
            </w:tcMar>
            <w:vAlign w:val="center"/>
          </w:tcPr>
          <w:p>
            <w:pPr>
              <w:jc w:val="center"/>
            </w:pPr>
            <w:r>
              <w:rPr>
                <w:b w:val="false"/>
                <w:bCs w:val="false"/>
                <w:color w:val="000000"/>
                <w:sz w:val="20"/>
                <w:szCs w:val="20"/>
              </w:rPr>
              <w:t xml:space="preserve">35.62</w:t>
            </w:r>
          </w:p>
        </w:tc>
        <w:tc>
          <w:tcPr>
            <w:tcW w:type="dxa" w:w="1300"/>
            <w:shd w:fill="F2F6FA" w:val="clear"/>
            <w:tcMar>
              <w:top w:type="dxa" w:w="60"/>
              <w:left w:type="dxa" w:w="100"/>
              <w:bottom w:type="dxa" w:w="60"/>
              <w:right w:type="dxa" w:w="100"/>
            </w:tcMar>
            <w:vAlign w:val="center"/>
          </w:tcPr>
          <w:p>
            <w:pPr>
              <w:jc w:val="center"/>
            </w:pPr>
            <w:r>
              <w:rPr>
                <w:b w:val="false"/>
                <w:bCs w:val="false"/>
                <w:color w:val="000000"/>
                <w:sz w:val="20"/>
                <w:szCs w:val="20"/>
              </w:rPr>
              <w:t xml:space="preserve">0.9981</w:t>
            </w:r>
          </w:p>
        </w:tc>
        <w:tc>
          <w:tcPr>
            <w:tcW w:type="dxa" w:w="1300"/>
            <w:shd w:fill="F2F6FA" w:val="clear"/>
            <w:tcMar>
              <w:top w:type="dxa" w:w="60"/>
              <w:left w:type="dxa" w:w="100"/>
              <w:bottom w:type="dxa" w:w="60"/>
              <w:right w:type="dxa" w:w="100"/>
            </w:tcMar>
            <w:vAlign w:val="center"/>
          </w:tcPr>
          <w:p>
            <w:pPr>
              <w:jc w:val="center"/>
            </w:pPr>
            <w:r>
              <w:rPr>
                <w:b w:val="false"/>
                <w:bCs w:val="false"/>
                <w:color w:val="000000"/>
                <w:sz w:val="20"/>
                <w:szCs w:val="20"/>
              </w:rPr>
              <w:t xml:space="preserve">0.9328</w:t>
            </w:r>
          </w:p>
        </w:tc>
        <w:tc>
          <w:tcPr>
            <w:tcW w:type="dxa" w:w="1300"/>
            <w:shd w:fill="F2F6FA" w:val="clear"/>
            <w:tcMar>
              <w:top w:type="dxa" w:w="60"/>
              <w:left w:type="dxa" w:w="100"/>
              <w:bottom w:type="dxa" w:w="60"/>
              <w:right w:type="dxa" w:w="100"/>
            </w:tcMar>
            <w:vAlign w:val="center"/>
          </w:tcPr>
          <w:p>
            <w:pPr>
              <w:jc w:val="center"/>
            </w:pPr>
            <w:r>
              <w:rPr>
                <w:b w:val="false"/>
                <w:bCs w:val="false"/>
                <w:color w:val="000000"/>
                <w:sz w:val="20"/>
                <w:szCs w:val="20"/>
              </w:rPr>
              <w:t xml:space="preserve">0.0332</w:t>
            </w:r>
          </w:p>
        </w:tc>
      </w:tr>
      <w:tr>
        <w:tc>
          <w:tcPr>
            <w:tcW w:type="dxa" w:w="3200"/>
            <w:shd w:fill="FFFFFF" w:val="clear"/>
            <w:tcMar>
              <w:top w:type="dxa" w:w="60"/>
              <w:left w:type="dxa" w:w="100"/>
              <w:bottom w:type="dxa" w:w="60"/>
              <w:right w:type="dxa" w:w="100"/>
            </w:tcMar>
            <w:vAlign w:val="center"/>
          </w:tcPr>
          <w:p>
            <w:pPr>
              <w:jc w:val="center"/>
            </w:pPr>
            <w:r>
              <w:rPr>
                <w:b w:val="false"/>
                <w:bCs w:val="false"/>
                <w:color w:val="000000"/>
                <w:sz w:val="20"/>
                <w:szCs w:val="20"/>
              </w:rPr>
              <w:t xml:space="preserve">Median Filter 3x3</w:t>
            </w:r>
          </w:p>
        </w:tc>
        <w:tc>
          <w:tcPr>
            <w:tcW w:type="dxa" w:w="1500"/>
            <w:shd w:fill="FFFFFF" w:val="clear"/>
            <w:tcMar>
              <w:top w:type="dxa" w:w="60"/>
              <w:left w:type="dxa" w:w="100"/>
              <w:bottom w:type="dxa" w:w="60"/>
              <w:right w:type="dxa" w:w="100"/>
            </w:tcMar>
            <w:vAlign w:val="center"/>
          </w:tcPr>
          <w:p>
            <w:pPr>
              <w:jc w:val="center"/>
            </w:pPr>
            <w:r>
              <w:rPr>
                <w:b w:val="false"/>
                <w:bCs w:val="false"/>
                <w:color w:val="000000"/>
                <w:sz w:val="20"/>
                <w:szCs w:val="20"/>
              </w:rPr>
              <w:t xml:space="preserve">35.62</w:t>
            </w:r>
          </w:p>
        </w:tc>
        <w:tc>
          <w:tcPr>
            <w:tcW w:type="dxa" w:w="1300"/>
            <w:shd w:fill="FFFFFF" w:val="clear"/>
            <w:tcMar>
              <w:top w:type="dxa" w:w="60"/>
              <w:left w:type="dxa" w:w="100"/>
              <w:bottom w:type="dxa" w:w="60"/>
              <w:right w:type="dxa" w:w="100"/>
            </w:tcMar>
            <w:vAlign w:val="center"/>
          </w:tcPr>
          <w:p>
            <w:pPr>
              <w:jc w:val="center"/>
            </w:pPr>
            <w:r>
              <w:rPr>
                <w:b w:val="false"/>
                <w:bCs w:val="false"/>
                <w:color w:val="000000"/>
                <w:sz w:val="20"/>
                <w:szCs w:val="20"/>
              </w:rPr>
              <w:t xml:space="preserve">0.9981</w:t>
            </w:r>
          </w:p>
        </w:tc>
        <w:tc>
          <w:tcPr>
            <w:tcW w:type="dxa" w:w="1300"/>
            <w:shd w:fill="FFFFFF" w:val="clear"/>
            <w:tcMar>
              <w:top w:type="dxa" w:w="60"/>
              <w:left w:type="dxa" w:w="100"/>
              <w:bottom w:type="dxa" w:w="60"/>
              <w:right w:type="dxa" w:w="100"/>
            </w:tcMar>
            <w:vAlign w:val="center"/>
          </w:tcPr>
          <w:p>
            <w:pPr>
              <w:jc w:val="center"/>
            </w:pPr>
            <w:r>
              <w:rPr>
                <w:b w:val="false"/>
                <w:bCs w:val="false"/>
                <w:color w:val="000000"/>
                <w:sz w:val="20"/>
                <w:szCs w:val="20"/>
              </w:rPr>
              <w:t xml:space="preserve">0.9806</w:t>
            </w:r>
          </w:p>
        </w:tc>
        <w:tc>
          <w:tcPr>
            <w:tcW w:type="dxa" w:w="1300"/>
            <w:shd w:fill="FFFFFF" w:val="clear"/>
            <w:tcMar>
              <w:top w:type="dxa" w:w="60"/>
              <w:left w:type="dxa" w:w="100"/>
              <w:bottom w:type="dxa" w:w="60"/>
              <w:right w:type="dxa" w:w="100"/>
            </w:tcMar>
            <w:vAlign w:val="center"/>
          </w:tcPr>
          <w:p>
            <w:pPr>
              <w:jc w:val="center"/>
            </w:pPr>
            <w:r>
              <w:rPr>
                <w:b w:val="false"/>
                <w:bCs w:val="false"/>
                <w:color w:val="000000"/>
                <w:sz w:val="20"/>
                <w:szCs w:val="20"/>
              </w:rPr>
              <w:t xml:space="preserve">0.0007</w:t>
            </w:r>
          </w:p>
        </w:tc>
      </w:tr>
      <w:tr>
        <w:tc>
          <w:tcPr>
            <w:tcW w:type="dxa" w:w="3200"/>
            <w:shd w:fill="F2F6FA" w:val="clear"/>
            <w:tcMar>
              <w:top w:type="dxa" w:w="60"/>
              <w:left w:type="dxa" w:w="100"/>
              <w:bottom w:type="dxa" w:w="60"/>
              <w:right w:type="dxa" w:w="100"/>
            </w:tcMar>
            <w:vAlign w:val="center"/>
          </w:tcPr>
          <w:p>
            <w:pPr>
              <w:jc w:val="center"/>
            </w:pPr>
            <w:r>
              <w:rPr>
                <w:b w:val="false"/>
                <w:bCs w:val="false"/>
                <w:color w:val="000000"/>
                <w:sz w:val="20"/>
                <w:szCs w:val="20"/>
              </w:rPr>
              <w:t xml:space="preserve">Gaussian Blur (sigma=1.5)</w:t>
            </w:r>
          </w:p>
        </w:tc>
        <w:tc>
          <w:tcPr>
            <w:tcW w:type="dxa" w:w="1500"/>
            <w:shd w:fill="F2F6FA" w:val="clear"/>
            <w:tcMar>
              <w:top w:type="dxa" w:w="60"/>
              <w:left w:type="dxa" w:w="100"/>
              <w:bottom w:type="dxa" w:w="60"/>
              <w:right w:type="dxa" w:w="100"/>
            </w:tcMar>
            <w:vAlign w:val="center"/>
          </w:tcPr>
          <w:p>
            <w:pPr>
              <w:jc w:val="center"/>
            </w:pPr>
            <w:r>
              <w:rPr>
                <w:b w:val="false"/>
                <w:bCs w:val="false"/>
                <w:color w:val="000000"/>
                <w:sz w:val="20"/>
                <w:szCs w:val="20"/>
              </w:rPr>
              <w:t xml:space="preserve">35.62</w:t>
            </w:r>
          </w:p>
        </w:tc>
        <w:tc>
          <w:tcPr>
            <w:tcW w:type="dxa" w:w="1300"/>
            <w:shd w:fill="F2F6FA" w:val="clear"/>
            <w:tcMar>
              <w:top w:type="dxa" w:w="60"/>
              <w:left w:type="dxa" w:w="100"/>
              <w:bottom w:type="dxa" w:w="60"/>
              <w:right w:type="dxa" w:w="100"/>
            </w:tcMar>
            <w:vAlign w:val="center"/>
          </w:tcPr>
          <w:p>
            <w:pPr>
              <w:jc w:val="center"/>
            </w:pPr>
            <w:r>
              <w:rPr>
                <w:b w:val="false"/>
                <w:bCs w:val="false"/>
                <w:color w:val="000000"/>
                <w:sz w:val="20"/>
                <w:szCs w:val="20"/>
              </w:rPr>
              <w:t xml:space="preserve">0.9981</w:t>
            </w:r>
          </w:p>
        </w:tc>
        <w:tc>
          <w:tcPr>
            <w:tcW w:type="dxa" w:w="1300"/>
            <w:shd w:fill="F2F6FA" w:val="clear"/>
            <w:tcMar>
              <w:top w:type="dxa" w:w="60"/>
              <w:left w:type="dxa" w:w="100"/>
              <w:bottom w:type="dxa" w:w="60"/>
              <w:right w:type="dxa" w:w="100"/>
            </w:tcMar>
            <w:vAlign w:val="center"/>
          </w:tcPr>
          <w:p>
            <w:pPr>
              <w:jc w:val="center"/>
            </w:pPr>
            <w:r>
              <w:rPr>
                <w:b w:val="false"/>
                <w:bCs w:val="false"/>
                <w:color w:val="000000"/>
                <w:sz w:val="20"/>
                <w:szCs w:val="20"/>
              </w:rPr>
              <w:t xml:space="preserve">0.9574</w:t>
            </w:r>
          </w:p>
        </w:tc>
        <w:tc>
          <w:tcPr>
            <w:tcW w:type="dxa" w:w="1300"/>
            <w:shd w:fill="F2F6FA" w:val="clear"/>
            <w:tcMar>
              <w:top w:type="dxa" w:w="60"/>
              <w:left w:type="dxa" w:w="100"/>
              <w:bottom w:type="dxa" w:w="60"/>
              <w:right w:type="dxa" w:w="100"/>
            </w:tcMar>
            <w:vAlign w:val="center"/>
          </w:tcPr>
          <w:p>
            <w:pPr>
              <w:jc w:val="center"/>
            </w:pPr>
            <w:r>
              <w:rPr>
                <w:b w:val="false"/>
                <w:bCs w:val="false"/>
                <w:color w:val="000000"/>
                <w:sz w:val="20"/>
                <w:szCs w:val="20"/>
              </w:rPr>
              <w:t xml:space="preserve">0.0068</w:t>
            </w:r>
          </w:p>
        </w:tc>
      </w:tr>
      <w:tr>
        <w:tc>
          <w:tcPr>
            <w:tcW w:type="dxa" w:w="3200"/>
            <w:shd w:fill="FFFFFF" w:val="clear"/>
            <w:tcMar>
              <w:top w:type="dxa" w:w="60"/>
              <w:left w:type="dxa" w:w="100"/>
              <w:bottom w:type="dxa" w:w="60"/>
              <w:right w:type="dxa" w:w="100"/>
            </w:tcMar>
            <w:vAlign w:val="center"/>
          </w:tcPr>
          <w:p>
            <w:pPr>
              <w:jc w:val="center"/>
            </w:pPr>
            <w:r>
              <w:rPr>
                <w:b w:val="false"/>
                <w:bCs w:val="false"/>
                <w:color w:val="000000"/>
                <w:sz w:val="20"/>
                <w:szCs w:val="20"/>
              </w:rPr>
              <w:t xml:space="preserve">Rotation 5 deg</w:t>
            </w:r>
          </w:p>
        </w:tc>
        <w:tc>
          <w:tcPr>
            <w:tcW w:type="dxa" w:w="1500"/>
            <w:shd w:fill="FFFFFF" w:val="clear"/>
            <w:tcMar>
              <w:top w:type="dxa" w:w="60"/>
              <w:left w:type="dxa" w:w="100"/>
              <w:bottom w:type="dxa" w:w="60"/>
              <w:right w:type="dxa" w:w="100"/>
            </w:tcMar>
            <w:vAlign w:val="center"/>
          </w:tcPr>
          <w:p>
            <w:pPr>
              <w:jc w:val="center"/>
            </w:pPr>
            <w:r>
              <w:rPr>
                <w:b w:val="false"/>
                <w:bCs w:val="false"/>
                <w:color w:val="000000"/>
                <w:sz w:val="20"/>
                <w:szCs w:val="20"/>
              </w:rPr>
              <w:t xml:space="preserve">35.62</w:t>
            </w:r>
          </w:p>
        </w:tc>
        <w:tc>
          <w:tcPr>
            <w:tcW w:type="dxa" w:w="1300"/>
            <w:shd w:fill="FFFFFF" w:val="clear"/>
            <w:tcMar>
              <w:top w:type="dxa" w:w="60"/>
              <w:left w:type="dxa" w:w="100"/>
              <w:bottom w:type="dxa" w:w="60"/>
              <w:right w:type="dxa" w:w="100"/>
            </w:tcMar>
            <w:vAlign w:val="center"/>
          </w:tcPr>
          <w:p>
            <w:pPr>
              <w:jc w:val="center"/>
            </w:pPr>
            <w:r>
              <w:rPr>
                <w:b w:val="false"/>
                <w:bCs w:val="false"/>
                <w:color w:val="000000"/>
                <w:sz w:val="20"/>
                <w:szCs w:val="20"/>
              </w:rPr>
              <w:t xml:space="preserve">0.9981</w:t>
            </w:r>
          </w:p>
        </w:tc>
        <w:tc>
          <w:tcPr>
            <w:tcW w:type="dxa" w:w="1300"/>
            <w:shd w:fill="FFFFFF" w:val="clear"/>
            <w:tcMar>
              <w:top w:type="dxa" w:w="60"/>
              <w:left w:type="dxa" w:w="100"/>
              <w:bottom w:type="dxa" w:w="60"/>
              <w:right w:type="dxa" w:w="100"/>
            </w:tcMar>
            <w:vAlign w:val="center"/>
          </w:tcPr>
          <w:p>
            <w:pPr>
              <w:jc w:val="center"/>
            </w:pPr>
            <w:r>
              <w:rPr>
                <w:b w:val="false"/>
                <w:bCs w:val="false"/>
                <w:color w:val="000000"/>
                <w:sz w:val="20"/>
                <w:szCs w:val="20"/>
              </w:rPr>
              <w:t xml:space="preserve">0.9319</w:t>
            </w:r>
          </w:p>
        </w:tc>
        <w:tc>
          <w:tcPr>
            <w:tcW w:type="dxa" w:w="1300"/>
            <w:shd w:fill="FFFFFF" w:val="clear"/>
            <w:tcMar>
              <w:top w:type="dxa" w:w="60"/>
              <w:left w:type="dxa" w:w="100"/>
              <w:bottom w:type="dxa" w:w="60"/>
              <w:right w:type="dxa" w:w="100"/>
            </w:tcMar>
            <w:vAlign w:val="center"/>
          </w:tcPr>
          <w:p>
            <w:pPr>
              <w:jc w:val="center"/>
            </w:pPr>
            <w:r>
              <w:rPr>
                <w:b w:val="false"/>
                <w:bCs w:val="false"/>
                <w:color w:val="000000"/>
                <w:sz w:val="20"/>
                <w:szCs w:val="20"/>
              </w:rPr>
              <w:t xml:space="preserve">0.0061</w:t>
            </w:r>
          </w:p>
        </w:tc>
      </w:tr>
      <w:tr>
        <w:tc>
          <w:tcPr>
            <w:tcW w:type="dxa" w:w="3200"/>
            <w:shd w:fill="F2F6FA" w:val="clear"/>
            <w:tcMar>
              <w:top w:type="dxa" w:w="60"/>
              <w:left w:type="dxa" w:w="100"/>
              <w:bottom w:type="dxa" w:w="60"/>
              <w:right w:type="dxa" w:w="100"/>
            </w:tcMar>
            <w:vAlign w:val="center"/>
          </w:tcPr>
          <w:p>
            <w:pPr>
              <w:jc w:val="center"/>
            </w:pPr>
            <w:r>
              <w:rPr>
                <w:b w:val="false"/>
                <w:bCs w:val="false"/>
                <w:color w:val="000000"/>
                <w:sz w:val="20"/>
                <w:szCs w:val="20"/>
              </w:rPr>
              <w:t xml:space="preserve">Rotation 15 deg</w:t>
            </w:r>
          </w:p>
        </w:tc>
        <w:tc>
          <w:tcPr>
            <w:tcW w:type="dxa" w:w="1500"/>
            <w:shd w:fill="F2F6FA" w:val="clear"/>
            <w:tcMar>
              <w:top w:type="dxa" w:w="60"/>
              <w:left w:type="dxa" w:w="100"/>
              <w:bottom w:type="dxa" w:w="60"/>
              <w:right w:type="dxa" w:w="100"/>
            </w:tcMar>
            <w:vAlign w:val="center"/>
          </w:tcPr>
          <w:p>
            <w:pPr>
              <w:jc w:val="center"/>
            </w:pPr>
            <w:r>
              <w:rPr>
                <w:b w:val="false"/>
                <w:bCs w:val="false"/>
                <w:color w:val="000000"/>
                <w:sz w:val="20"/>
                <w:szCs w:val="20"/>
              </w:rPr>
              <w:t xml:space="preserve">35.62</w:t>
            </w:r>
          </w:p>
        </w:tc>
        <w:tc>
          <w:tcPr>
            <w:tcW w:type="dxa" w:w="1300"/>
            <w:shd w:fill="F2F6FA" w:val="clear"/>
            <w:tcMar>
              <w:top w:type="dxa" w:w="60"/>
              <w:left w:type="dxa" w:w="100"/>
              <w:bottom w:type="dxa" w:w="60"/>
              <w:right w:type="dxa" w:w="100"/>
            </w:tcMar>
            <w:vAlign w:val="center"/>
          </w:tcPr>
          <w:p>
            <w:pPr>
              <w:jc w:val="center"/>
            </w:pPr>
            <w:r>
              <w:rPr>
                <w:b w:val="false"/>
                <w:bCs w:val="false"/>
                <w:color w:val="000000"/>
                <w:sz w:val="20"/>
                <w:szCs w:val="20"/>
              </w:rPr>
              <w:t xml:space="preserve">0.9981</w:t>
            </w:r>
          </w:p>
        </w:tc>
        <w:tc>
          <w:tcPr>
            <w:tcW w:type="dxa" w:w="1300"/>
            <w:shd w:fill="F2F6FA" w:val="clear"/>
            <w:tcMar>
              <w:top w:type="dxa" w:w="60"/>
              <w:left w:type="dxa" w:w="100"/>
              <w:bottom w:type="dxa" w:w="60"/>
              <w:right w:type="dxa" w:w="100"/>
            </w:tcMar>
            <w:vAlign w:val="center"/>
          </w:tcPr>
          <w:p>
            <w:pPr>
              <w:jc w:val="center"/>
            </w:pPr>
            <w:r>
              <w:rPr>
                <w:b w:val="false"/>
                <w:bCs w:val="false"/>
                <w:color w:val="000000"/>
                <w:sz w:val="20"/>
                <w:szCs w:val="20"/>
              </w:rPr>
              <w:t xml:space="preserve">0.7873</w:t>
            </w:r>
          </w:p>
        </w:tc>
        <w:tc>
          <w:tcPr>
            <w:tcW w:type="dxa" w:w="1300"/>
            <w:shd w:fill="F2F6FA" w:val="clear"/>
            <w:tcMar>
              <w:top w:type="dxa" w:w="60"/>
              <w:left w:type="dxa" w:w="100"/>
              <w:bottom w:type="dxa" w:w="60"/>
              <w:right w:type="dxa" w:w="100"/>
            </w:tcMar>
            <w:vAlign w:val="center"/>
          </w:tcPr>
          <w:p>
            <w:pPr>
              <w:jc w:val="center"/>
            </w:pPr>
            <w:r>
              <w:rPr>
                <w:b w:val="false"/>
                <w:bCs w:val="false"/>
                <w:color w:val="000000"/>
                <w:sz w:val="20"/>
                <w:szCs w:val="20"/>
              </w:rPr>
              <w:t xml:space="preserve">0.0349</w:t>
            </w:r>
          </w:p>
        </w:tc>
      </w:tr>
      <w:tr>
        <w:tc>
          <w:tcPr>
            <w:tcW w:type="dxa" w:w="3200"/>
            <w:shd w:fill="FFFFFF" w:val="clear"/>
            <w:tcMar>
              <w:top w:type="dxa" w:w="60"/>
              <w:left w:type="dxa" w:w="100"/>
              <w:bottom w:type="dxa" w:w="60"/>
              <w:right w:type="dxa" w:w="100"/>
            </w:tcMar>
            <w:vAlign w:val="center"/>
          </w:tcPr>
          <w:p>
            <w:pPr>
              <w:jc w:val="center"/>
            </w:pPr>
            <w:r>
              <w:rPr>
                <w:b w:val="false"/>
                <w:bCs w:val="false"/>
                <w:color w:val="000000"/>
                <w:sz w:val="20"/>
                <w:szCs w:val="20"/>
              </w:rPr>
              <w:t xml:space="preserve">Cropping 25%</w:t>
            </w:r>
          </w:p>
        </w:tc>
        <w:tc>
          <w:tcPr>
            <w:tcW w:type="dxa" w:w="1500"/>
            <w:shd w:fill="FFFFFF" w:val="clear"/>
            <w:tcMar>
              <w:top w:type="dxa" w:w="60"/>
              <w:left w:type="dxa" w:w="100"/>
              <w:bottom w:type="dxa" w:w="60"/>
              <w:right w:type="dxa" w:w="100"/>
            </w:tcMar>
            <w:vAlign w:val="center"/>
          </w:tcPr>
          <w:p>
            <w:pPr>
              <w:jc w:val="center"/>
            </w:pPr>
            <w:r>
              <w:rPr>
                <w:b w:val="false"/>
                <w:bCs w:val="false"/>
                <w:color w:val="000000"/>
                <w:sz w:val="20"/>
                <w:szCs w:val="20"/>
              </w:rPr>
              <w:t xml:space="preserve">35.62</w:t>
            </w:r>
          </w:p>
        </w:tc>
        <w:tc>
          <w:tcPr>
            <w:tcW w:type="dxa" w:w="1300"/>
            <w:shd w:fill="FFFFFF" w:val="clear"/>
            <w:tcMar>
              <w:top w:type="dxa" w:w="60"/>
              <w:left w:type="dxa" w:w="100"/>
              <w:bottom w:type="dxa" w:w="60"/>
              <w:right w:type="dxa" w:w="100"/>
            </w:tcMar>
            <w:vAlign w:val="center"/>
          </w:tcPr>
          <w:p>
            <w:pPr>
              <w:jc w:val="center"/>
            </w:pPr>
            <w:r>
              <w:rPr>
                <w:b w:val="false"/>
                <w:bCs w:val="false"/>
                <w:color w:val="000000"/>
                <w:sz w:val="20"/>
                <w:szCs w:val="20"/>
              </w:rPr>
              <w:t xml:space="preserve">0.9981</w:t>
            </w:r>
          </w:p>
        </w:tc>
        <w:tc>
          <w:tcPr>
            <w:tcW w:type="dxa" w:w="1300"/>
            <w:shd w:fill="FFFFFF" w:val="clear"/>
            <w:tcMar>
              <w:top w:type="dxa" w:w="60"/>
              <w:left w:type="dxa" w:w="100"/>
              <w:bottom w:type="dxa" w:w="60"/>
              <w:right w:type="dxa" w:w="100"/>
            </w:tcMar>
            <w:vAlign w:val="center"/>
          </w:tcPr>
          <w:p>
            <w:pPr>
              <w:jc w:val="center"/>
            </w:pPr>
            <w:r>
              <w:rPr>
                <w:b w:val="false"/>
                <w:bCs w:val="false"/>
                <w:color w:val="000000"/>
                <w:sz w:val="20"/>
                <w:szCs w:val="20"/>
              </w:rPr>
              <w:t xml:space="preserve">0.0</w:t>
            </w:r>
          </w:p>
        </w:tc>
        <w:tc>
          <w:tcPr>
            <w:tcW w:type="dxa" w:w="1300"/>
            <w:shd w:fill="FFFFFF" w:val="clear"/>
            <w:tcMar>
              <w:top w:type="dxa" w:w="60"/>
              <w:left w:type="dxa" w:w="100"/>
              <w:bottom w:type="dxa" w:w="60"/>
              <w:right w:type="dxa" w:w="100"/>
            </w:tcMar>
            <w:vAlign w:val="center"/>
          </w:tcPr>
          <w:p>
            <w:pPr>
              <w:jc w:val="center"/>
            </w:pPr>
            <w:r>
              <w:rPr>
                <w:b w:val="false"/>
                <w:bCs w:val="false"/>
                <w:color w:val="000000"/>
                <w:sz w:val="20"/>
                <w:szCs w:val="20"/>
              </w:rPr>
              <w:t xml:space="preserve">0.1296</w:t>
            </w:r>
          </w:p>
        </w:tc>
      </w:tr>
      <w:tr>
        <w:tc>
          <w:tcPr>
            <w:tcW w:type="dxa" w:w="3200"/>
            <w:shd w:fill="F2F6FA" w:val="clear"/>
            <w:tcMar>
              <w:top w:type="dxa" w:w="60"/>
              <w:left w:type="dxa" w:w="100"/>
              <w:bottom w:type="dxa" w:w="60"/>
              <w:right w:type="dxa" w:w="100"/>
            </w:tcMar>
            <w:vAlign w:val="center"/>
          </w:tcPr>
          <w:p>
            <w:pPr>
              <w:jc w:val="center"/>
            </w:pPr>
            <w:r>
              <w:rPr>
                <w:b w:val="false"/>
                <w:bCs w:val="false"/>
                <w:color w:val="000000"/>
                <w:sz w:val="20"/>
                <w:szCs w:val="20"/>
              </w:rPr>
              <w:t xml:space="preserve">Scaling 0.5x</w:t>
            </w:r>
          </w:p>
        </w:tc>
        <w:tc>
          <w:tcPr>
            <w:tcW w:type="dxa" w:w="1500"/>
            <w:shd w:fill="F2F6FA" w:val="clear"/>
            <w:tcMar>
              <w:top w:type="dxa" w:w="60"/>
              <w:left w:type="dxa" w:w="100"/>
              <w:bottom w:type="dxa" w:w="60"/>
              <w:right w:type="dxa" w:w="100"/>
            </w:tcMar>
            <w:vAlign w:val="center"/>
          </w:tcPr>
          <w:p>
            <w:pPr>
              <w:jc w:val="center"/>
            </w:pPr>
            <w:r>
              <w:rPr>
                <w:b w:val="false"/>
                <w:bCs w:val="false"/>
                <w:color w:val="000000"/>
                <w:sz w:val="20"/>
                <w:szCs w:val="20"/>
              </w:rPr>
              <w:t xml:space="preserve">35.62</w:t>
            </w:r>
          </w:p>
        </w:tc>
        <w:tc>
          <w:tcPr>
            <w:tcW w:type="dxa" w:w="1300"/>
            <w:shd w:fill="F2F6FA" w:val="clear"/>
            <w:tcMar>
              <w:top w:type="dxa" w:w="60"/>
              <w:left w:type="dxa" w:w="100"/>
              <w:bottom w:type="dxa" w:w="60"/>
              <w:right w:type="dxa" w:w="100"/>
            </w:tcMar>
            <w:vAlign w:val="center"/>
          </w:tcPr>
          <w:p>
            <w:pPr>
              <w:jc w:val="center"/>
            </w:pPr>
            <w:r>
              <w:rPr>
                <w:b w:val="false"/>
                <w:bCs w:val="false"/>
                <w:color w:val="000000"/>
                <w:sz w:val="20"/>
                <w:szCs w:val="20"/>
              </w:rPr>
              <w:t xml:space="preserve">0.9981</w:t>
            </w:r>
          </w:p>
        </w:tc>
        <w:tc>
          <w:tcPr>
            <w:tcW w:type="dxa" w:w="1300"/>
            <w:shd w:fill="F2F6FA" w:val="clear"/>
            <w:tcMar>
              <w:top w:type="dxa" w:w="60"/>
              <w:left w:type="dxa" w:w="100"/>
              <w:bottom w:type="dxa" w:w="60"/>
              <w:right w:type="dxa" w:w="100"/>
            </w:tcMar>
            <w:vAlign w:val="center"/>
          </w:tcPr>
          <w:p>
            <w:pPr>
              <w:jc w:val="center"/>
            </w:pPr>
            <w:r>
              <w:rPr>
                <w:b w:val="false"/>
                <w:bCs w:val="false"/>
                <w:color w:val="000000"/>
                <w:sz w:val="20"/>
                <w:szCs w:val="20"/>
              </w:rPr>
              <w:t xml:space="preserve">0.9691</w:t>
            </w:r>
          </w:p>
        </w:tc>
        <w:tc>
          <w:tcPr>
            <w:tcW w:type="dxa" w:w="1300"/>
            <w:shd w:fill="F2F6FA" w:val="clear"/>
            <w:tcMar>
              <w:top w:type="dxa" w:w="60"/>
              <w:left w:type="dxa" w:w="100"/>
              <w:bottom w:type="dxa" w:w="60"/>
              <w:right w:type="dxa" w:w="100"/>
            </w:tcMar>
            <w:vAlign w:val="center"/>
          </w:tcPr>
          <w:p>
            <w:pPr>
              <w:jc w:val="center"/>
            </w:pPr>
            <w:r>
              <w:rPr>
                <w:b w:val="false"/>
                <w:bCs w:val="false"/>
                <w:color w:val="000000"/>
                <w:sz w:val="20"/>
                <w:szCs w:val="20"/>
              </w:rPr>
              <w:t xml:space="preserve">0.0049</w:t>
            </w:r>
          </w:p>
        </w:tc>
      </w:tr>
      <w:tr>
        <w:tc>
          <w:tcPr>
            <w:tcW w:type="dxa" w:w="3200"/>
            <w:shd w:fill="FFFFFF" w:val="clear"/>
            <w:tcMar>
              <w:top w:type="dxa" w:w="60"/>
              <w:left w:type="dxa" w:w="100"/>
              <w:bottom w:type="dxa" w:w="60"/>
              <w:right w:type="dxa" w:w="100"/>
            </w:tcMar>
            <w:vAlign w:val="center"/>
          </w:tcPr>
          <w:p>
            <w:pPr>
              <w:jc w:val="center"/>
            </w:pPr>
            <w:r>
              <w:rPr>
                <w:b w:val="false"/>
                <w:bCs w:val="false"/>
                <w:color w:val="000000"/>
                <w:sz w:val="20"/>
                <w:szCs w:val="20"/>
              </w:rPr>
              <w:t xml:space="preserve">Histogram Equalization</w:t>
            </w:r>
          </w:p>
        </w:tc>
        <w:tc>
          <w:tcPr>
            <w:tcW w:type="dxa" w:w="1500"/>
            <w:shd w:fill="FFFFFF" w:val="clear"/>
            <w:tcMar>
              <w:top w:type="dxa" w:w="60"/>
              <w:left w:type="dxa" w:w="100"/>
              <w:bottom w:type="dxa" w:w="60"/>
              <w:right w:type="dxa" w:w="100"/>
            </w:tcMar>
            <w:vAlign w:val="center"/>
          </w:tcPr>
          <w:p>
            <w:pPr>
              <w:jc w:val="center"/>
            </w:pPr>
            <w:r>
              <w:rPr>
                <w:b w:val="false"/>
                <w:bCs w:val="false"/>
                <w:color w:val="000000"/>
                <w:sz w:val="20"/>
                <w:szCs w:val="20"/>
              </w:rPr>
              <w:t xml:space="preserve">35.62</w:t>
            </w:r>
          </w:p>
        </w:tc>
        <w:tc>
          <w:tcPr>
            <w:tcW w:type="dxa" w:w="1300"/>
            <w:shd w:fill="FFFFFF" w:val="clear"/>
            <w:tcMar>
              <w:top w:type="dxa" w:w="60"/>
              <w:left w:type="dxa" w:w="100"/>
              <w:bottom w:type="dxa" w:w="60"/>
              <w:right w:type="dxa" w:w="100"/>
            </w:tcMar>
            <w:vAlign w:val="center"/>
          </w:tcPr>
          <w:p>
            <w:pPr>
              <w:jc w:val="center"/>
            </w:pPr>
            <w:r>
              <w:rPr>
                <w:b w:val="false"/>
                <w:bCs w:val="false"/>
                <w:color w:val="000000"/>
                <w:sz w:val="20"/>
                <w:szCs w:val="20"/>
              </w:rPr>
              <w:t xml:space="preserve">0.9981</w:t>
            </w:r>
          </w:p>
        </w:tc>
        <w:tc>
          <w:tcPr>
            <w:tcW w:type="dxa" w:w="1300"/>
            <w:shd w:fill="FFFFFF" w:val="clear"/>
            <w:tcMar>
              <w:top w:type="dxa" w:w="60"/>
              <w:left w:type="dxa" w:w="100"/>
              <w:bottom w:type="dxa" w:w="60"/>
              <w:right w:type="dxa" w:w="100"/>
            </w:tcMar>
            <w:vAlign w:val="center"/>
          </w:tcPr>
          <w:p>
            <w:pPr>
              <w:jc w:val="center"/>
            </w:pPr>
            <w:r>
              <w:rPr>
                <w:b w:val="false"/>
                <w:bCs w:val="false"/>
                <w:color w:val="000000"/>
                <w:sz w:val="20"/>
                <w:szCs w:val="20"/>
              </w:rPr>
              <w:t xml:space="preserve">0.0956</w:t>
            </w:r>
          </w:p>
        </w:tc>
        <w:tc>
          <w:tcPr>
            <w:tcW w:type="dxa" w:w="1300"/>
            <w:shd w:fill="FFFFFF" w:val="clear"/>
            <w:tcMar>
              <w:top w:type="dxa" w:w="60"/>
              <w:left w:type="dxa" w:w="100"/>
              <w:bottom w:type="dxa" w:w="60"/>
              <w:right w:type="dxa" w:w="100"/>
            </w:tcMar>
            <w:vAlign w:val="center"/>
          </w:tcPr>
          <w:p>
            <w:pPr>
              <w:jc w:val="center"/>
            </w:pPr>
            <w:r>
              <w:rPr>
                <w:b w:val="false"/>
                <w:bCs w:val="false"/>
                <w:color w:val="000000"/>
                <w:sz w:val="20"/>
                <w:szCs w:val="20"/>
              </w:rPr>
              <w:t xml:space="preserve">0.1292</w:t>
            </w:r>
          </w:p>
        </w:tc>
      </w:tr>
      <w:tr>
        <w:tc>
          <w:tcPr>
            <w:tcW w:type="dxa" w:w="3200"/>
            <w:shd w:fill="F2F6FA" w:val="clear"/>
            <w:tcMar>
              <w:top w:type="dxa" w:w="60"/>
              <w:left w:type="dxa" w:w="100"/>
              <w:bottom w:type="dxa" w:w="60"/>
              <w:right w:type="dxa" w:w="100"/>
            </w:tcMar>
            <w:vAlign w:val="center"/>
          </w:tcPr>
          <w:p>
            <w:pPr>
              <w:jc w:val="center"/>
            </w:pPr>
            <w:r>
              <w:rPr>
                <w:b w:val="false"/>
                <w:bCs w:val="false"/>
                <w:color w:val="000000"/>
                <w:sz w:val="20"/>
                <w:szCs w:val="20"/>
              </w:rPr>
              <w:t xml:space="preserve">Sharpening</w:t>
            </w:r>
          </w:p>
        </w:tc>
        <w:tc>
          <w:tcPr>
            <w:tcW w:type="dxa" w:w="1500"/>
            <w:shd w:fill="F2F6FA" w:val="clear"/>
            <w:tcMar>
              <w:top w:type="dxa" w:w="60"/>
              <w:left w:type="dxa" w:w="100"/>
              <w:bottom w:type="dxa" w:w="60"/>
              <w:right w:type="dxa" w:w="100"/>
            </w:tcMar>
            <w:vAlign w:val="center"/>
          </w:tcPr>
          <w:p>
            <w:pPr>
              <w:jc w:val="center"/>
            </w:pPr>
            <w:r>
              <w:rPr>
                <w:b w:val="false"/>
                <w:bCs w:val="false"/>
                <w:color w:val="000000"/>
                <w:sz w:val="20"/>
                <w:szCs w:val="20"/>
              </w:rPr>
              <w:t xml:space="preserve">35.62</w:t>
            </w:r>
          </w:p>
        </w:tc>
        <w:tc>
          <w:tcPr>
            <w:tcW w:type="dxa" w:w="1300"/>
            <w:shd w:fill="F2F6FA" w:val="clear"/>
            <w:tcMar>
              <w:top w:type="dxa" w:w="60"/>
              <w:left w:type="dxa" w:w="100"/>
              <w:bottom w:type="dxa" w:w="60"/>
              <w:right w:type="dxa" w:w="100"/>
            </w:tcMar>
            <w:vAlign w:val="center"/>
          </w:tcPr>
          <w:p>
            <w:pPr>
              <w:jc w:val="center"/>
            </w:pPr>
            <w:r>
              <w:rPr>
                <w:b w:val="false"/>
                <w:bCs w:val="false"/>
                <w:color w:val="000000"/>
                <w:sz w:val="20"/>
                <w:szCs w:val="20"/>
              </w:rPr>
              <w:t xml:space="preserve">0.9981</w:t>
            </w:r>
          </w:p>
        </w:tc>
        <w:tc>
          <w:tcPr>
            <w:tcW w:type="dxa" w:w="1300"/>
            <w:shd w:fill="F2F6FA" w:val="clear"/>
            <w:tcMar>
              <w:top w:type="dxa" w:w="60"/>
              <w:left w:type="dxa" w:w="100"/>
              <w:bottom w:type="dxa" w:w="60"/>
              <w:right w:type="dxa" w:w="100"/>
            </w:tcMar>
            <w:vAlign w:val="center"/>
          </w:tcPr>
          <w:p>
            <w:pPr>
              <w:jc w:val="center"/>
            </w:pPr>
            <w:r>
              <w:rPr>
                <w:b w:val="false"/>
                <w:bCs w:val="false"/>
                <w:color w:val="000000"/>
                <w:sz w:val="20"/>
                <w:szCs w:val="20"/>
              </w:rPr>
              <w:t xml:space="preserve">0.9803</w:t>
            </w:r>
          </w:p>
        </w:tc>
        <w:tc>
          <w:tcPr>
            <w:tcW w:type="dxa" w:w="1300"/>
            <w:shd w:fill="F2F6FA" w:val="clear"/>
            <w:tcMar>
              <w:top w:type="dxa" w:w="60"/>
              <w:left w:type="dxa" w:w="100"/>
              <w:bottom w:type="dxa" w:w="60"/>
              <w:right w:type="dxa" w:w="100"/>
            </w:tcMar>
            <w:vAlign w:val="center"/>
          </w:tcPr>
          <w:p>
            <w:pPr>
              <w:jc w:val="center"/>
            </w:pPr>
            <w:r>
              <w:rPr>
                <w:b w:val="false"/>
                <w:bCs w:val="false"/>
                <w:color w:val="000000"/>
                <w:sz w:val="20"/>
                <w:szCs w:val="20"/>
              </w:rPr>
              <w:t xml:space="preserve">0.0005</w:t>
            </w:r>
          </w:p>
        </w:tc>
      </w:tr>
    </w:tbl>
    <w:p>
      <w:pPr>
        <w:spacing w:after="160"/>
      </w:pPr>
    </w:p>
    <w:p>
      <w:pPr>
        <w:spacing w:after="240"/>
        <w:jc w:val="center"/>
      </w:pPr>
      <w:r>
        <w:rPr>
          <w:i/>
          <w:iCs/>
          <w:color w:val="444444"/>
          <w:sz w:val="20"/>
          <w:szCs w:val="20"/>
        </w:rPr>
        <w:t xml:space="preserve">Table 5.1: Full robustness results, host image = cameraman</w:t>
      </w:r>
    </w:p>
    <w:p>
      <w:pPr>
        <w:spacing w:after="60" w:before="160"/>
        <w:jc w:val="center"/>
      </w:pPr>
      <w:r>
        <w:drawing>
          <wp:inline distT="0" distB="0" distL="0" distR="0">
            <wp:extent cx="5715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857500"/>
                    </a:xfrm>
                    <a:prstGeom prst="rect">
                      <a:avLst/>
                    </a:prstGeom>
                  </pic:spPr>
                </pic:pic>
              </a:graphicData>
            </a:graphic>
          </wp:inline>
        </w:drawing>
      </w:r>
    </w:p>
    <w:p>
      <w:pPr>
        <w:spacing w:after="240"/>
        <w:jc w:val="center"/>
      </w:pPr>
      <w:r>
        <w:rPr>
          <w:i/>
          <w:iCs/>
          <w:color w:val="444444"/>
          <w:sz w:val="20"/>
          <w:szCs w:val="20"/>
        </w:rPr>
        <w:t xml:space="preserve">Figure 5.3: Extracted watermark under representative attacks, with NC scores</w:t>
      </w:r>
    </w:p>
    <w:p>
      <w:pPr>
        <w:spacing w:after="60" w:before="160"/>
        <w:jc w:val="center"/>
      </w:pPr>
      <w:r>
        <w:drawing>
          <wp:inline distT="0" distB="0" distL="0" distR="0">
            <wp:extent cx="4572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3048000"/>
                    </a:xfrm>
                    <a:prstGeom prst="rect">
                      <a:avLst/>
                    </a:prstGeom>
                  </pic:spPr>
                </pic:pic>
              </a:graphicData>
            </a:graphic>
          </wp:inline>
        </w:drawing>
      </w:r>
    </w:p>
    <w:p>
      <w:pPr>
        <w:spacing w:after="240"/>
        <w:jc w:val="center"/>
      </w:pPr>
      <w:r>
        <w:rPr>
          <w:i/>
          <w:iCs/>
          <w:color w:val="444444"/>
          <w:sz w:val="20"/>
          <w:szCs w:val="20"/>
        </w:rPr>
        <w:t xml:space="preserve">Figure 5.4: Normalized Correlation across all 15 attacks (cameraman host)</w:t>
      </w:r>
    </w:p>
    <w:p>
      <w:pPr>
        <w:pStyle w:val="Heading2"/>
        <w:spacing w:after="120" w:before="240"/>
      </w:pPr>
      <w:r>
        <w:t xml:space="preserve">5.3 Embedding Strength (alpha) Trade-off</w:t>
      </w:r>
    </w:p>
    <w:p>
      <w:pPr>
        <w:spacing w:after="160" w:line="300"/>
      </w:pPr>
      <w:r>
        <w:t xml:space="preserve">Alpha directly scales how much of the watermark's energy is injected into the host's singular values. A sweep from α = 0.02 to 0.40 (tested against a fixed JPEG-50 attack) quantifies the classic imperceptibility-robustness trade-off:</w:t>
      </w:r>
    </w:p>
    <w:p>
      <w:pPr>
        <w:spacing w:after="60" w:before="160"/>
        <w:jc w:val="center"/>
      </w:pPr>
      <w:r>
        <w:drawing>
          <wp:inline distT="0" distB="0" distL="0" distR="0">
            <wp:extent cx="45720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3324225"/>
                    </a:xfrm>
                    <a:prstGeom prst="rect">
                      <a:avLst/>
                    </a:prstGeom>
                  </pic:spPr>
                </pic:pic>
              </a:graphicData>
            </a:graphic>
          </wp:inline>
        </w:drawing>
      </w:r>
    </w:p>
    <w:p>
      <w:pPr>
        <w:spacing w:after="240"/>
        <w:jc w:val="center"/>
      </w:pPr>
      <w:r>
        <w:rPr>
          <w:i/>
          <w:iCs/>
          <w:color w:val="444444"/>
          <w:sz w:val="20"/>
          <w:szCs w:val="20"/>
        </w:rPr>
        <w:t xml:space="preserve">Figure 5.5: PSNR (imperceptibility) falls as NC after attack (robustness) rises with increasing alpha</w:t>
      </w:r>
    </w:p>
    <w:p>
      <w:pPr>
        <w:spacing w:after="160" w:line="300"/>
      </w:pPr>
      <w:r>
        <w:t xml:space="preserve">The chosen operating point (α = 0.10) sits in the favorable region of this curve — strong robustness with negligible visible distortion. Applications prioritizing stronger tamper-evidence (e.g., legal evidence images) could move to α ≈ 0.15–0.20 at a small, still-imperceptible PSNR cost.</w:t>
      </w:r>
    </w:p>
    <w:p>
      <w:pPr>
        <w:pStyle w:val="Heading2"/>
        <w:spacing w:after="120" w:before="240"/>
      </w:pPr>
      <w:r>
        <w:t xml:space="preserve">5.4 Failure Case Analysis</w:t>
      </w:r>
    </w:p>
    <w:p>
      <w:pPr>
        <w:spacing w:after="160" w:line="300"/>
      </w:pPr>
      <w:r>
        <w:t xml:space="preserve">Two attacks produced NC below the recognizability threshold and merit honest discussion rather than being hidden:</w:t>
      </w:r>
    </w:p>
    <w:p>
      <w:pPr>
        <w:pStyle w:val="ListParagraph"/>
        <w:numPr>
          <w:ilvl w:val="0"/>
          <w:numId w:val="1"/>
        </w:numPr>
        <w:spacing w:after="80"/>
      </w:pPr>
      <w:r>
        <w:t xml:space="preserve">Cropping (25%): NC collapsed to 0.00. Because this scheme embeds into the singular values of the whole LL sub-band, zeroing a large contiguous image region drastically changes the sub-band's global algebraic structure — SVD-domain schemes of this global (non-block-based) form are known to be geometry-fragile. This is a genuine, expected limitation, not an implementation bug.</w:t>
      </w:r>
    </w:p>
    <w:p>
      <w:pPr>
        <w:pStyle w:val="ListParagraph"/>
        <w:numPr>
          <w:ilvl w:val="0"/>
          <w:numId w:val="1"/>
        </w:numPr>
        <w:spacing w:after="80"/>
      </w:pPr>
      <w:r>
        <w:t xml:space="preserve">Histogram Equalization: NC dropped to 0.10 (cameraman) / 0.66 (astronaut). This is a strongly non-linear, global pixel remapping that redistributes energy across the whole intensity histogram, which perturbs the LL sub-band far more than the noise/filtering attacks.</w:t>
      </w:r>
    </w:p>
    <w:p>
      <w:pPr>
        <w:pStyle w:val="ListParagraph"/>
        <w:numPr>
          <w:ilvl w:val="0"/>
          <w:numId w:val="1"/>
        </w:numPr>
        <w:spacing w:after="80"/>
      </w:pPr>
      <w:r>
        <w:t xml:space="preserve">By contrast, JPEG compression (all quality factors), median filtering, sharpening, and moderate rotation/scaling were all recovered with NC &gt; 0.93 on average, confirming the scheme meets its design goal of robustness to the most common real-world image handling operations.</w:t>
      </w:r>
    </w:p>
    <w:p>
      <w:pPr>
        <w:pStyle w:val="Heading1"/>
        <w:spacing w:after="160" w:before="320"/>
      </w:pPr>
      <w:r>
        <w:t xml:space="preserve">6. Limitations and Future Scope</w:t>
      </w:r>
    </w:p>
    <w:p>
      <w:pPr>
        <w:pStyle w:val="ListParagraph"/>
        <w:numPr>
          <w:ilvl w:val="0"/>
          <w:numId w:val="1"/>
        </w:numPr>
        <w:spacing w:after="80"/>
      </w:pPr>
      <w:r>
        <w:t xml:space="preserve">Block-based embedding: partitioning the host into blocks and embedding redundant watermark copies per block would directly address the cropping failure mode, at some capacity/PSNR cost.</w:t>
      </w:r>
    </w:p>
    <w:p>
      <w:pPr>
        <w:pStyle w:val="ListParagraph"/>
        <w:numPr>
          <w:ilvl w:val="0"/>
          <w:numId w:val="1"/>
        </w:numPr>
        <w:spacing w:after="80"/>
      </w:pPr>
      <w:r>
        <w:t xml:space="preserve">Fully blind extraction: the current scheme is semi-blind (requires the embedding key). A quantization-index-modulation variant could remove this dependency.</w:t>
      </w:r>
    </w:p>
    <w:p>
      <w:pPr>
        <w:pStyle w:val="ListParagraph"/>
        <w:numPr>
          <w:ilvl w:val="0"/>
          <w:numId w:val="1"/>
        </w:numPr>
        <w:spacing w:after="80"/>
      </w:pPr>
      <w:r>
        <w:t xml:space="preserve">Color image extension: applying the scheme to the luminance (Y) channel of a YCbCr-converted color image, leaving chrominance untouched.</w:t>
      </w:r>
    </w:p>
    <w:p>
      <w:pPr>
        <w:pStyle w:val="ListParagraph"/>
        <w:numPr>
          <w:ilvl w:val="0"/>
          <w:numId w:val="1"/>
        </w:numPr>
        <w:spacing w:after="80"/>
      </w:pPr>
      <w:r>
        <w:t xml:space="preserve">Real-time / hardware embedding: the DWT-DCT-SVD pipeline is lightweight enough to be ported to an embedded platform (e.g., ESP32-class hardware) for on-device watermark embedding at image-capture time in IoT camera applications.</w:t>
      </w:r>
    </w:p>
    <w:p>
      <w:pPr>
        <w:pStyle w:val="ListParagraph"/>
        <w:numPr>
          <w:ilvl w:val="0"/>
          <w:numId w:val="1"/>
        </w:numPr>
        <w:spacing w:after="80"/>
      </w:pPr>
      <w:r>
        <w:t xml:space="preserve">Video extension: applying the same scheme per-frame with temporal redundancy, with attacks including frame-dropping and re-encoding.</w:t>
      </w:r>
    </w:p>
    <w:p>
      <w:pPr>
        <w:pStyle w:val="Heading1"/>
        <w:spacing w:after="160" w:before="320"/>
      </w:pPr>
      <w:r>
        <w:t xml:space="preserve">7. Conclusion</w:t>
      </w:r>
    </w:p>
    <w:p>
      <w:pPr>
        <w:spacing w:after="160" w:line="300"/>
      </w:pPr>
      <w:r>
        <w:t xml:space="preserve">This project designed, implemented, and rigorously validated a fully classical hybrid DWT-DCT-SVD digital image watermarking system with no machine learning or deep learning component. The system achieves strong imperceptibility (mean PSNR 35.6 dB, SSIM 0.996) and recovers a recognizable watermark (NC &gt; 0.75) in 25 of 30 real-world attack trials, including all tested JPEG compression levels. The two identified failure modes (severe cropping and global histogram equalization) were explained from first principles rather than treated as unexplained anomalies, and a concrete, technically grounded path to addressing them (block-based redundant embedding) was proposed. Every stage of the pipeline — DWT, DCT, SVD, and their inverses — is a closed-form, fully explainable linear-algebraic operation, satisfying the project's core constraint of complete algorithmic transparency.</w:t>
      </w:r>
    </w:p>
    <w:p>
      <w:pPr>
        <w:pStyle w:val="Heading1"/>
        <w:spacing w:after="160" w:before="320"/>
      </w:pPr>
      <w:r>
        <w:t xml:space="preserve">References</w:t>
      </w:r>
    </w:p>
    <w:p>
      <w:pPr>
        <w:spacing w:after="160" w:line="300"/>
      </w:pPr>
      <w:r>
        <w:t xml:space="preserve">[1] Cox, I. J., Kilian, J., Leighton, F. T., &amp; Shamoon, T. (1997). Secure spread spectrum watermarking for multimedia. IEEE Transactions on Image Processing, 6(12).</w:t>
      </w:r>
    </w:p>
    <w:p>
      <w:pPr>
        <w:spacing w:after="160" w:line="300"/>
      </w:pPr>
      <w:r>
        <w:t xml:space="preserve">[2] Liu, R., &amp; Tan, T. (2002). An SVD-based watermarking scheme for protecting rightful ownership. IEEE Transactions on Multimedia, 4(1).</w:t>
      </w:r>
    </w:p>
    <w:p>
      <w:pPr>
        <w:spacing w:after="160" w:line="300"/>
      </w:pPr>
      <w:r>
        <w:t xml:space="preserve">[3] Ganic, E., &amp; Eskicioglu, A. M. (2004). Robust DWT-SVD domain image watermarking: embedding data in all frequencies. Proceedings of the ACM Multimedia and Security Workshop.</w:t>
      </w:r>
    </w:p>
    <w:p>
      <w:pPr>
        <w:spacing w:after="160" w:line="300"/>
      </w:pPr>
      <w:r>
        <w:t xml:space="preserve">[4] Gonzalez, R. C., &amp; Woods, R. E. Digital Image Processing (4th ed.). Pearson — chapters on wavelet and frequency-domain transforms.</w:t>
      </w:r>
    </w:p>
    <w:p>
      <w:pPr>
        <w:spacing w:after="160" w:line="300"/>
      </w:pPr>
      <w:r>
        <w:t xml:space="preserve">[5] scikit-image and PyWavelets project documentation — standard test images and DWT/metric implementations used in this project.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pPr>
    <w:rPr>
      <w:b/>
      <w:bCs/>
      <w:color w:val="1F4E79"/>
      <w:sz w:val="30"/>
      <w:szCs w:val="30"/>
    </w:rPr>
  </w:style>
  <w:style w:type="paragraph" w:styleId="Heading2">
    <w:name w:val="Heading 2"/>
    <w:basedOn w:val="Normal"/>
    <w:next w:val="Normal"/>
    <w:qFormat/>
    <w:pPr>
      <w:spacing w:after="120" w:before="240"/>
    </w:pPr>
    <w:rPr>
      <w:b/>
      <w:bCs/>
      <w:color w:val="2E75B6"/>
      <w:sz w:val="26"/>
      <w:szCs w:val="26"/>
    </w:rPr>
  </w:style>
  <w:style w:type="paragraph" w:styleId="Heading3">
    <w:name w:val="Heading 3"/>
    <w:basedOn w:val="Normal"/>
    <w:next w:val="Normal"/>
    <w:qFormat/>
    <w:pPr>
      <w:spacing w:after="100" w:before="200"/>
    </w:pPr>
    <w:rPr>
      <w:b/>
      <w:b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43b6820eaf97739cb9014b0f8df50a98cbd2e2f.png"/><Relationship Id="rId8" Type="http://schemas.openxmlformats.org/officeDocument/2006/relationships/image" Target="media/766eccc22f12dc9857ae48b1fcb44465d8462c33.png"/><Relationship Id="rId9" Type="http://schemas.openxmlformats.org/officeDocument/2006/relationships/image" Target="media/3db115b6429297ba36eb4d70cabe9f0c4f2d1eda.png"/><Relationship Id="rId10" Type="http://schemas.openxmlformats.org/officeDocument/2006/relationships/image" Target="media/4f7371cef037ed66d76899f08cfa182b098a0334.png"/><Relationship Id="rId11" Type="http://schemas.openxmlformats.org/officeDocument/2006/relationships/image" Target="media/5d48954e4d6e46092b4b3a53e4a2582a09d9bfc9.png"/><Relationship Id="rId12" Type="http://schemas.openxmlformats.org/officeDocument/2006/relationships/image" Target="media/99a5f8387640ea0e8bfa10e9b72894b9121598ad.png"/><Relationship Id="rId13" Type="http://schemas.openxmlformats.org/officeDocument/2006/relationships/image" Target="media/9c42505abe625909ccf4f31ceaca4c2a9f1d7ddd.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2026-07-31T05:27:52.350Z</dcterms:created>
  <dcterms:modified xsi:type="dcterms:W3CDTF">2026-07-31T05:27:52.351Z</dcterms:modified>
</cp:coreProperties>
</file>

<file path=docProps/custom.xml><?xml version="1.0" encoding="utf-8"?>
<Properties xmlns="http://schemas.openxmlformats.org/officeDocument/2006/custom-properties" xmlns:vt="http://schemas.openxmlformats.org/officeDocument/2006/docPropsVTypes"/>
</file>