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Embedding and Vector Database</w:t>
      </w:r>
    </w:p>
    <w:p>
      <w:pPr>
        <w:pStyle w:val="Heading2"/>
      </w:pPr>
      <w:r>
        <w:t>1. Embedding models and selection rationale</w:t>
      </w:r>
    </w:p>
    <w:p>
      <w:r>
        <w:rPr>
          <w:i w:val="0"/>
        </w:rPr>
        <w:t>Three back-ends share one interface (fit, encode, save). The default 'lsa' embedder is TF-IDF (1-2 grams, sublinear tf, English stop words) followed by TruncatedSVD [4]; it needs no download. 'tfidf' keeps the full sparse vocabulary as a dense vector; 'sentence-transformers' wraps a pretrained model (default all-MiniLM-L6-v2, documented output size 384 dimensions [2]). Rationale: the build environment could not reach HuggingFace, so a pretrained model could not be downloaded; LSA is the strongest embedding that could be fitted locally and executed. The sentence-transformers back-end is implemented but was NOT executed or tested, and no result in this document comes from it.</w:t>
      </w:r>
    </w:p>
    <w:p>
      <w:pPr>
        <w:pStyle w:val="Heading2"/>
      </w:pPr>
      <w:r>
        <w:t>2. Dimensions, similarity metric and normalisation</w:t>
      </w:r>
    </w:p>
    <w:p>
      <w:r>
        <w:rPr>
          <w:i w:val="0"/>
        </w:rPr>
        <w:t>Verified from the persisted index (manifest.json): embedder 'lsa', dimension 44, 45 vectors. The dimension is min(128, n_chunks - 1, features - 1); with 45 chunks it is capped at 44. The 'tfidf' embedder has 1795 dimensions. Every vector (stored and query) is L2-normalised, so the FAISS inner product equals cosine similarity; a test checks that stored vectors have unit norm.</w:t>
      </w:r>
    </w:p>
    <w:p>
      <w:pPr>
        <w:pStyle w:val="Heading2"/>
      </w:pPr>
      <w:r>
        <w:t>3. Vector store, index construction and persistence</w:t>
      </w:r>
    </w:p>
    <w:p>
      <w:r>
        <w:rPr>
          <w:i w:val="0"/>
        </w:rPr>
        <w:t>faiss.IndexFlatIP performs exact brute-force search [3]; at 45 vectors this is instantaneous and avoids approximation error. artifacts/index/ contains index.faiss, chunks.jsonl (text and metadata, in vector order), manifest.json (embedder, dimension, metric, chunk size/overlap, SHA-256 of every source file, counts, build time), embedder.joblib (fitted TF-IDF/SVD) and ingest_report.json. Loading verifies that index and chunk table have the same length and reports corruption as a user-safe error.</w:t>
      </w:r>
    </w:p>
    <w:p>
      <w:pPr>
        <w:pStyle w:val="Heading2"/>
      </w:pPr>
      <w:r>
        <w:t>4. Query embedding, top-k retrieval and filtering</w:t>
      </w:r>
    </w:p>
    <w:p>
      <w:r>
        <w:rPr>
          <w:i w:val="0"/>
        </w:rPr>
        <w:t>The query is stripped, embedded with the persisted embedder (same model as the index), and searched for the top-k (default 4) neighbours. Results are (rank, cosine score, chunk). An optional document filter scores all vectors and keeps the top-k matching chunks (exact on a flat index). Empty/None queries, k &lt; 1 and query/index dimension mismatch raise RetrievalError with a clear message; any other failure is wrapped without a stack trace.</w:t>
      </w:r>
    </w:p>
    <w:p>
      <w:pPr>
        <w:pStyle w:val="Heading2"/>
      </w:pPr>
      <w:r>
        <w:t>5. Duplicates and index updates</w:t>
      </w:r>
    </w:p>
    <w:p>
      <w:r>
        <w:rPr>
          <w:i w:val="0"/>
        </w:rPr>
        <w:t>Chunks with identical lower-cased text are de-duplicated before indexing (first kept). Updating the knowledge base: add or edit files and press 'Rebuild index' (or run scripts/build_index.py). The manifest hashes make a stale index detectable, and the UI warns. Updates are a full rebuild because the LSA embedder must be refitted on the new corpus; a pretrained embedder would allow incremental adds but that is not implemented.</w:t>
      </w:r>
    </w:p>
    <w:p>
      <w:pPr>
        <w:pStyle w:val="Heading2"/>
      </w:pPr>
      <w:r>
        <w:t>6. Configuration</w:t>
      </w:r>
    </w:p>
    <w:p>
      <w:r>
        <w:rPr>
          <w:i w:val="0"/>
        </w:rPr>
        <w:t>RAG_EMBEDDER (lsa | tfidf | sentence-transformers), RAG_LSA_DIMS, RAG_ST_MODEL, RAG_CHUNK_SIZE, RAG_CHUNK_OVERLAP, RAG_TOP_K, RAG_MIN_SCORE (see .env.example).</w:t>
      </w:r>
    </w:p>
    <w:p>
      <w:pPr>
        <w:pStyle w:val="Heading2"/>
      </w:pPr>
      <w:r>
        <w:t>7. Experiment: chunk size, top-k and embedder</w:t>
      </w:r>
    </w:p>
    <w:p>
      <w:pPr>
        <w:spacing w:after="40"/>
      </w:pPr>
      <w:r>
        <w:rPr>
          <w:i w:val="0"/>
        </w:rPr>
        <w:t>Setup (scripts/run_experiments.py): the 26 evidence-labelled evaluation cases; overlap fixed at 20% of chunk size; each configuration builds its own index; Precision@k, Recall@k, MRR and Hit@k as defined in the Testing document. Actual output: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794"/>
        <w:gridCol w:w="850"/>
        <w:gridCol w:w="907"/>
        <w:gridCol w:w="510"/>
        <w:gridCol w:w="850"/>
        <w:gridCol w:w="850"/>
        <w:gridCol w:w="850"/>
        <w:gridCol w:w="850"/>
        <w:gridCol w:w="907"/>
      </w:tblGrid>
      <w:tr>
        <w:tc>
          <w:tcPr>
            <w:tcW w:type="dxa" w:w="90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embedder</w:t>
            </w:r>
          </w:p>
        </w:tc>
        <w:tc>
          <w:tcPr>
            <w:tcW w:type="dxa" w:w="794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chunk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overlap</w:t>
            </w:r>
          </w:p>
        </w:tc>
        <w:tc>
          <w:tcPr>
            <w:tcW w:type="dxa" w:w="90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#chunks</w:t>
            </w:r>
          </w:p>
        </w:tc>
        <w:tc>
          <w:tcPr>
            <w:tcW w:type="dxa" w:w="51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k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P@k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R@k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MRR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Hit@k</w:t>
            </w:r>
          </w:p>
        </w:tc>
        <w:tc>
          <w:tcPr>
            <w:tcW w:type="dxa" w:w="90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passed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0.904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0.200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0.904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28/34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0.346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0.223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28/34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0.372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lsa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0.238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0.894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0.321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0.865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0.865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0.192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0.865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0.865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28/34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0.346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0.878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0.223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0.878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0.808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28/34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0.359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0.878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tfidf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0.238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0.888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29/34</w:t>
            </w:r>
          </w:p>
        </w:tc>
      </w:tr>
    </w:tbl>
    <w:p>
      <w:pPr>
        <w:spacing w:after="40"/>
      </w:pPr>
    </w:p>
    <w:p>
      <w:r>
        <w:rPr>
          <w:i w:val="0"/>
          <w:sz w:val="18"/>
        </w:rPr>
        <w:t>Findings. (a) Raising k from 1 to 3 lifts Hit@k from 0.808 to 0.923-0.962 for every configuration, and to 1.000 only for chunk size 800 at k = 5; precision falls as k grows because most questions have a single relevant chunk. (b) Chunk size changes results by at most one or two questions of 26; 800-character chunks reach full recall at k = 5, but larger chunks also contain more of the labelled phrases, so the comparison is confounded and no size is shown to be superior. (c) LSA and TF-IDF are nearly indistinguishable here (LSA ahead by one question at chunk size 250, k = 3). (d) 'Cases passed' is 28-29/34 in all configurations, i.e. it is limited by the generator's abstention rule, not by retrieval. The sample is far too small for statistical claims; the trends match what is expected (recall up, precision down with k).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Embedding and Vector Database  |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