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8"/>
          <w:szCs w:val="28"/>
          <w:rtl w:val="0"/>
        </w:rPr>
        <w:t xml:space="preserve">The Evolution of Digital Platforms: Subscriber Engagement, Churn Prediction, and Data-Driven Retention Strategies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By: Tridha Mitra(A293), Vidushi Barnwal(A302), Kasturi Kathare(A309), Ayana Deb(A331), Krisha Kadam(A414)</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Problem Statement</w:t>
      </w:r>
    </w:p>
    <w:p w:rsidR="00000000" w:rsidDel="00000000" w:rsidP="00000000" w:rsidRDefault="00000000" w:rsidRPr="00000000" w14:paraId="00000005">
      <w:pPr>
        <w:rPr/>
      </w:pPr>
      <w:r w:rsidDel="00000000" w:rsidR="00000000" w:rsidRPr="00000000">
        <w:rPr>
          <w:rtl w:val="0"/>
        </w:rPr>
        <w:t xml:space="preserve">Digital subscription platforms operate on recurring revenue models where customer retention directly impacts profitability. However, platforms struggle to identify which behavioral signals distinguish engaged subscribers from those at risk of churn. Traditional approaches treat all subscribers identically, deploying generic retention strategies that fail to address segment-specific drivers of disengagement. Without systematic analysis of subscriber behavior, platforms cannot implement targeted interventions or allocate retention resources effectively. This project addresses this critical gap by applying Exploratory Data Analysis to uncover behavioral patterns, segment subscribers, and generate actionable insights for retention.</w:t>
      </w:r>
    </w:p>
    <w:p w:rsidR="00000000" w:rsidDel="00000000" w:rsidP="00000000" w:rsidRDefault="00000000" w:rsidRPr="00000000" w14:paraId="00000006">
      <w:pPr>
        <w:pStyle w:val="Heading1"/>
        <w:rPr/>
      </w:pPr>
      <w:r w:rsidDel="00000000" w:rsidR="00000000" w:rsidRPr="00000000">
        <w:rPr>
          <w:rtl w:val="0"/>
        </w:rPr>
        <w:t xml:space="preserve">Literature Review</w:t>
      </w:r>
    </w:p>
    <w:p w:rsidR="00000000" w:rsidDel="00000000" w:rsidP="00000000" w:rsidRDefault="00000000" w:rsidRPr="00000000" w14:paraId="00000007">
      <w:pPr>
        <w:spacing w:after="240" w:before="240" w:lineRule="auto"/>
        <w:rPr/>
      </w:pPr>
      <w:r w:rsidDel="00000000" w:rsidR="00000000" w:rsidRPr="00000000">
        <w:rPr>
          <w:rtl w:val="0"/>
        </w:rPr>
        <w:br w:type="textWrapping"/>
        <w:t xml:space="preserve"> This literature review synthesizes findings from subscription economics, behavioral analytics, and customer behavior analysis. The analysis focuses on five interconnected themes: (1) drivers of subscriber engagement in digital platforms, (2) behavioral signals and early warning indicators of churn, (3) segmentation methodologies for identifying at-risk subscribers, (4) exploratory data analysis techniques for understanding retention patterns, and (5) personalization and content strategy as retention levers.</w:t>
      </w:r>
    </w:p>
    <w:p w:rsidR="00000000" w:rsidDel="00000000" w:rsidP="00000000" w:rsidRDefault="00000000" w:rsidRPr="00000000" w14:paraId="00000008">
      <w:pPr>
        <w:spacing w:after="240" w:before="240" w:lineRule="auto"/>
        <w:rPr/>
      </w:pPr>
      <w:r w:rsidDel="00000000" w:rsidR="00000000" w:rsidRPr="00000000">
        <w:rPr>
          <w:b w:val="1"/>
          <w:bCs w:val="1"/>
          <w:color w:val="4a86e8"/>
          <w:sz w:val="26"/>
          <w:szCs w:val="26"/>
          <w:rtl w:val="0"/>
        </w:rPr>
        <w:t xml:space="preserve">Theme 1: Subscriber Engagement on Digital Platforms</w:t>
        <w:br w:type="textWrapping"/>
      </w:r>
      <w:r w:rsidDel="00000000" w:rsidR="00000000" w:rsidRPr="00000000">
        <w:rPr>
          <w:rtl w:val="0"/>
        </w:rPr>
        <w:t xml:space="preserve"> Engagement, defined as the frequency, duration, and depth of subscriber interactions with platform features serves as the primary lever for retention in subscription-based models. Research on reading behavior suggests that the format through which content is consumed shapes both the nature and the accessibility of engagement. On one hand, Liu (2005)[1] found that screen-based reading is characterized by more browsing and non-linear reading, with less time spent on deep, concentrated reading than print, and this pattern is echoed in Mangen, Walgermo, and Brønnick's (2013)[2] finding that students scored higher on comprehension tests when reading in print rather than digitally, a result reinforced at scale by Delgado, Vargas, Ackerman, and Salmerón's (2018)[3] meta-analysis confirming a general "screen inferiority effect" for text-heavy digital reading.</w:t>
        <w:br w:type="textWrapping"/>
        <w:t xml:space="preserve"> However, this comprehension gap does not extend uniformly across all digital formats. Rogowsky, Calhoun, and Tallal (2016)[4] found no statistically significant difference in comprehension or two-week retention between participants who read e-text on a tablet, listened to a digital audiobook, or did both simultaneously indicating that audiobooks and e-texts, when properly implemented, are effective substitutes for print rather than inferior alternatives. This is a critical distinction for e-book subscription platforms, since it suggests the "digital penalty" observed in earlier studies is tied more to format and interface design than to the underlying medium.</w:t>
        <w:br w:type="textWrapping"/>
        <w:t xml:space="preserve"> Digital formats also carry engagement advantages that print cannot replicate. Lai and Chang (2011)[5]found that perceived convenience, compatibility, and media richness significantly increase users' intention to use e-book readers, with convenience emerging as a key driver of adoption. Similarly, research synthesized by Reich et al. (2016, as cited in recent e-book literature reviews)[6] shows that multimedia features — video, audio, interactive annotations — can increase reader interest and engagement compared to static text, supporting the theme's claim that platform design and content richness (not just format) are what ultimately drive engagement. Together, these findings suggest that while digital platforms carry some inherent risk of shallower reading, well-designed interactive and audio features can offset this, making strong platform/UX design —not the digital format itself —the deciding factor in subscriber engagement.</w:t>
        <w:br w:type="textWrapping"/>
        <w:t xml:space="preserve"> Finally, ease of access is a double-edged sword: it drives higher initial usage but, as noted above, can also translate into lower depth of engagement if not paired with quality content delivery, and infrastructural issues can suppress usage altogether.</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bCs w:val="1"/>
          <w:sz w:val="26"/>
          <w:szCs w:val="26"/>
          <w:rtl w:val="0"/>
        </w:rPr>
        <w:t xml:space="preserve">Theme 2: Behavioral Signals and Churn Prediction</w:t>
        <w:br w:type="textWrapping"/>
      </w:r>
      <w:r w:rsidDel="00000000" w:rsidR="00000000" w:rsidRPr="00000000">
        <w:rPr>
          <w:rtl w:val="0"/>
        </w:rPr>
        <w:t xml:space="preserve"> Identifying behavioral signals that precede churn enables proactive intervention. Research on subscription platforms shows that consumption patterns themselves can predict cancellation: subscribers who consume content more rapidly deplete their available content sooner, which depreciates their perceived value of the subscription and lowers their willingness to continue paying (Godinho de Matos &amp; Ferreira, 2020)[7]. These consumption-based signals are reliable indicators because they reflect fundamental changes in subscriber engagement, similar to the declining login frequency and reduced session duration used in subscription churn models built with support vector machines on real subscriber data (Coussement &amp; Van den Poel, 2008[8]).</w:t>
        <w:br w:type="textWrapping"/>
        <w:t xml:space="preserve"> However, churn is not uniformly driven by a single factor. Content variety and pricing are two of the primary triggers behind subscription cancellation decisions, alongside factors such as substitute services and subscription fatigue (Rani, 2023)[9]. Understanding these segment-specific churn drivers is essential for targeted retention. Overly complex interfaces increase cognitive load and correlate with higher abandonment: a controlled experiment comparing low- and high-complexity versions of an otherwise identical website found that higher complexity significantly increased visitor abandonment (Manomuth, Vinsonhaler, &amp; Scheffelmaier, 2006)[10], a finding reinforced by eye-tracking research showing that website complexity measurably increases task completion time and cognitive load (Wang, Yang, Liu, Cao, &amp; Ma, 2014)[11]. This suggests that user experience metrics complement behavioral metrics in churn models. Furthermore, research on customer satisfaction across services demonstrates that perceived value relative to cost is a critical driver of customer satisfaction and loyalty, making it a key churn-relevant construct (Szymanski &amp; Henard, 2001)[12].</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bCs w:val="1"/>
          <w:color w:val="4a86e8"/>
          <w:sz w:val="26"/>
          <w:szCs w:val="26"/>
          <w:rtl w:val="0"/>
        </w:rPr>
        <w:t xml:space="preserve">Theme 3: Segmentation and Subscriber Classification</w:t>
      </w:r>
      <w:r w:rsidDel="00000000" w:rsidR="00000000" w:rsidRPr="00000000">
        <w:rPr>
          <w:b w:val="1"/>
          <w:bCs w:val="1"/>
          <w:rtl w:val="0"/>
        </w:rPr>
        <w:br w:type="textWrapping"/>
      </w:r>
      <w:r w:rsidDel="00000000" w:rsidR="00000000" w:rsidRPr="00000000">
        <w:rPr>
          <w:rtl w:val="0"/>
        </w:rPr>
        <w:t xml:space="preserve"> Segmentation begins from the recognition that subscribers are not a uniform population: what drives one reader's engagement can be irrelevant, or even reversed, for another. Majid, Yu, Chang, and Zilu (2019)[13] found that among university students, a clear majority (73.7%) preferred print for their core academic study, while a separate majority (around 52%) preferred e-books specifically for research and leisure reading — showing that why someone is reading, not just who they are, is itself a segmentation variable. Foasberg (2011)[14] adds a complementary picture from the adoption side: surveying e-reader ownership among college students, she found uptake was slow, and that those who did adopt an e-reader used it almost exclusively for leisure while continuing to rely on print for the bulk of their reading, with price cited as the single greatest barrier to further adoption. Together these findings point to at least two natural subscriber segments: a small, leisure-only, price-sensitive segment, and a larger segment that treats digital formats as a supplement to print-based study rather than a replacement for it.</w:t>
        <w:br w:type="textWrapping"/>
        <w:t xml:space="preserve"> However, segmenting subscribers purely by format preference risks mistaking behavior for capability. Rogowsky, Calhoun, and Tallal (2016)[4] randomly assigned adults to read a nonfiction chapter via e-text, digital audiobook, or both simultaneously, and found no meaningful difference in comprehension or two-week retention between the three groups — format alone did not disadvantage any segment. Clinton-Lisell's (2022)[15] meta-analysis, pooling data from 46 studies and nearly 4,700 participants, reinforces this: overall, reading and listening comprehension came out about even. Reading only pulled ahead when it was self-paced, and again when the comprehension being tested was inferential — requiring readers to draw conclusions — rather than simple literal recall. This nuance matters for classification: a subscriber who favors print or audio may not be a weaker reader in either format, but someone engaged in a different kind of task — self-paced deep study versus paced, casual consumption.</w:t>
        <w:br w:type="textWrapping"/>
        <w:t xml:space="preserve"> Taken together, these findings argue for segmenting subscribers by purpose and pacing rather than by format loyalty alone. A stated preference for print, e-book, or audio says less about reading ability than about whether someone is doing self-paced inferential study or lighter, externally-paced consumption — and a platform that treats format preference as a proxy for engagement risk may misclassify capable, engaged readers as a low-value segment.</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color w:val="4a86e8"/>
          <w:sz w:val="26"/>
          <w:szCs w:val="26"/>
          <w:rtl w:val="0"/>
        </w:rPr>
        <w:t xml:space="preserve">Theme 4: Exploratory Data Analysis for Retention Insight</w:t>
      </w:r>
      <w:r w:rsidDel="00000000" w:rsidR="00000000" w:rsidRPr="00000000">
        <w:rPr>
          <w:b w:val="1"/>
          <w:bCs w:val="1"/>
          <w:rtl w:val="0"/>
        </w:rPr>
        <w:br w:type="textWrapping"/>
      </w:r>
      <w:r w:rsidDel="00000000" w:rsidR="00000000" w:rsidRPr="00000000">
        <w:rPr>
          <w:rtl w:val="0"/>
        </w:rPr>
        <w:t xml:space="preserve"> Before any engagement or churn model can be built, the underlying behavioral data has to be explored to see what signal it actually contains. Vuorinen, Tatler, and Keller (2024)[16] provide a rare example of this at the level of raw reading logs, unobtrusively tracking sixty adult readers' interactions with an e-reader app over 14 days — task-switching, reading speed, and page-navigation events. Their exploratory analysis found that readers with higher contextual motivation (those who reported enjoying reading as an activity) had significantly longer continuous engagement durations before disengaging, meaning fewer, longer sessions rather than frequent short ones. Readers with more task-relevant electronic experience also showed more linear navigation and reading speeds that adapted to text difficulty — slowing for hard passages, speeding up for easy ones — while a mismatch between experience measures produced the opposite, less adaptive pattern.</w:t>
        <w:br w:type="textWrapping"/>
        <w:t xml:space="preserve"> This kind of behavioral log data can also be turned into predictive features rather than just descriptive ones. Chen, Yang, Weng, Ogata, and Su (2021)[17] extracted reading-log features — page turns, backward and forward jumps, and the adding, editing, or deleting of markers and memos — from 100 first-year undergraduates using an e-book platform, and used them to train several machine-learning classifiers to flag at-risk students early in a course. One of these classifiers correctly identified almost all at-risk students in their sample, and the specific navigation behaviors, not just login frequency or time-on-platform, were closely tied to that at-risk classification.</w:t>
        <w:br w:type="textWrapping"/>
        <w:t xml:space="preserve"> These two studies point in the same direction: EDA on subscriber logs needs to go beyond simple session counts. Navigation patterns, engagement duration per session, and marker/annotation activity carry the same kind of behavioral information that let Vuorinen et al. distinguish motivated from unmotivated readers, and that let Chen et al. flag at-risk students well before a grade — or a subscription lapse — would reveal the same thing. For an e-book subscriber platform, this suggests the EDA stage should profile how someone reads, not only how often, since the "how" appears to be where the earliest engagement signal lives.</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b w:val="1"/>
          <w:bCs w:val="1"/>
          <w:color w:val="4a86e8"/>
          <w:sz w:val="26"/>
          <w:szCs w:val="26"/>
          <w:rtl w:val="0"/>
        </w:rPr>
        <w:t xml:space="preserve">Theme 5: Personalization and Content Strategy as Retention Drivers</w:t>
      </w:r>
      <w:r w:rsidDel="00000000" w:rsidR="00000000" w:rsidRPr="00000000">
        <w:rPr>
          <w:b w:val="1"/>
          <w:bCs w:val="1"/>
          <w:rtl w:val="0"/>
        </w:rPr>
        <w:br w:type="textWrapping"/>
      </w:r>
      <w:r w:rsidDel="00000000" w:rsidR="00000000" w:rsidRPr="00000000">
        <w:rPr>
          <w:rtl w:val="0"/>
        </w:rPr>
        <w:t xml:space="preserve"> Personalization — the tailoring of content, recommendations, and communications to individual subscriber preferences — is increasingly recognized as a primary driver of sustained engagement and retention. At-scale evidence from Netflix's recommender system shows that personalized recommendations generate substantial incremental engagement beyond what the underlying content alone would produce, since replacing the platform's current recommendation algorithm with a non-personalized, popularity-based alternative was found to reduce engagement by roughly 12%, with a matrix-factorization approach producing a smaller but still meaningful 4% decline (Zielnicki, Aridor, Bibaut, Tran, Chou, &amp; Kallus, 2025)[18]. This aligns with earlier industry-level evidence that the core measurement target of recommendation algorithm improvements is member retention itself, with A/B testing across recommendation variants used specifically to isolate retention-relevant gains from general engagement (Gomez-Uribe &amp; Hunt, 2016)[19]. Together, these findings support the claim that personalized content discovery mechanisms are not merely a convenience feature but a direct lever on subscriber retention.</w:t>
        <w:br w:type="textWrapping"/>
        <w:t xml:space="preserve"> Beyond content discovery, the channel and framing of personalized communication shapes how firms manage the customer relationship over time. As new media channels have expanded the touchpoints through which platforms reach subscribers, firms must adapt how they use these channels to preserve and strengthen customer relationships, since new media phenomena introduce both risks and opportunities for relationship management that a "pinball" rather than linear model of customer interaction can better capture (Hennig-Thurau, Malthouse, Friege, Gensler, Lobschat, Rangaswamy, &amp; Skiera, 2010)[20]. This reinforces the idea that the relevance and channel-fit of communications, not just their content, influences whether re-engagement attempts succeed with lapsed or inactive subscribers.</w:t>
        <w:br w:type="textWrapping"/>
        <w:t xml:space="preserve"> Content delivery strategy and personalized retention offers, however, do not straightforwardly guarantee lower churn. Firms attempting to win back lapsed customers have long used discounted reacquisition pricing, but research shows that the optimal strategy is not to simply reverse the price sensitivity that drove customers away — instead, a low reacquisition price paired with higher subsequent prices once the customer is reacquired tends to outperform flat discounting (Thomas, Blattberg, &amp; Fox, 2004)[21]. This complicates any assumption that personalized discounts alone reliably restore engagement. More directly, field-experiment evidence indicates that proactively recommending personalized subscription plans to at-risk customers can backfire, since customers who are offered a plan change independent of their actual usage patterns may become more likely to churn rather than less (Ascarza, Iyengar, &amp; Schleicher, 2016)[22]. Compounding this, work combining two large field experiments demonstrates that customers identified as being at the highest risk of churning are not necessarily the customers who respond best to retention interventions, suggesting that firms should target subscribers by their heterogeneous sensitivity to an offer rather than by churn-risk score alone (Ascarza, 2018)[23]. This body of work implies that platforms should treat personalized retention offers as a targeting and design problem, not merely a distribution problem, and should validate offers via experimentation rather than assuming that risk-based personalization is inherently effective. Finally, the underlying usage dynamics that make an offer relevant in the first place have deeper roots: prior usage levels and satisfaction evaluations exert causal influence on subsequent service usage, and customers' perceptions of the "equity" of an exchange over time shape whether continued or renewed usage occurs (Bolton &amp; Lemon, 1999)[24], indicating that any personalized retention offer is filtered through the subscriber's accumulated sense of value and fairness rather than evaluated in isolation.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36"/>
          <w:szCs w:val="36"/>
          <w:u w:val="none"/>
          <w:shd w:fill="auto" w:val="clear"/>
          <w:vertAlign w:val="baseline"/>
          <w:rtl w:val="0"/>
        </w:rPr>
        <w:t xml:space="preserve">Methodology and Design</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study adopts a </w:t>
      </w:r>
      <w:r w:rsidDel="00000000" w:rsidR="00000000" w:rsidRPr="00000000">
        <w:rPr>
          <w:b w:val="1"/>
          <w:bCs w:val="1"/>
          <w:rtl w:val="0"/>
        </w:rPr>
        <w:t xml:space="preserve">data-driven Exploratory Data Analysis (EDA) approach</w:t>
      </w:r>
      <w:r w:rsidDel="00000000" w:rsidR="00000000" w:rsidRPr="00000000">
        <w:rPr>
          <w:rtl w:val="0"/>
        </w:rPr>
        <w:t xml:space="preserve"> to examine subscriber behavior and engagement using the provided e-book subscriber dataset. Unlike conventional research that relies on surveys and interviews, this study utilizes an existing dataset containing subscriber demographics, subscription information, and reading activity records. The primary objective is to identify behavioral patterns associated with user engagement, inactivity, and potential churn. Through systematic data preprocessing, segmentation, engagement scoring, and visualization, the study aims to generate actionable insights that can support subscriber retention and improve user engagement strategies.</w:t>
      </w:r>
    </w:p>
    <w:p w:rsidR="00000000" w:rsidDel="00000000" w:rsidP="00000000" w:rsidRDefault="00000000" w:rsidRPr="00000000" w14:paraId="00000014">
      <w:pPr>
        <w:rPr/>
      </w:pPr>
      <w:r w:rsidDel="00000000" w:rsidR="00000000" w:rsidRPr="00000000">
        <w:rPr>
          <w:rtl w:val="0"/>
        </w:rPr>
        <w:t xml:space="preserve">The methodological design is informed by established data analytics practices commonly employed in customer behavior analysis and subscription-based platforms. Exploratory Data Analysis (EDA) serves as the foundation of the study by enabling the identification of trends, anomalies, and relationships within the dataset before any predictive modelling. Data preprocessing techniques such as handling missing values, removing duplicate records, standardizing variables, and validating data quality ensure the reliability of the analysis. Subscriber segmentation and engagement scoring further facilitate the identification of distinct user groups and behavioral patterns that influence platform usage and retention.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color w:val="4a86e8"/>
          <w:sz w:val="26"/>
          <w:szCs w:val="26"/>
        </w:rPr>
      </w:pPr>
      <w:r w:rsidDel="00000000" w:rsidR="00000000" w:rsidRPr="00000000">
        <w:rPr>
          <w:b w:val="1"/>
          <w:bCs w:val="1"/>
          <w:color w:val="4a86e8"/>
          <w:sz w:val="26"/>
          <w:szCs w:val="26"/>
          <w:rtl w:val="0"/>
        </w:rPr>
        <w:t xml:space="preserve">Research Methods</w:t>
      </w:r>
    </w:p>
    <w:p w:rsidR="00000000" w:rsidDel="00000000" w:rsidP="00000000" w:rsidRDefault="00000000" w:rsidRPr="00000000" w14:paraId="00000017">
      <w:pPr>
        <w:rPr>
          <w:b w:val="1"/>
          <w:bCs w:val="1"/>
        </w:rPr>
      </w:pPr>
      <w:r w:rsidDel="00000000" w:rsidR="00000000" w:rsidRPr="00000000">
        <w:rPr>
          <w:b w:val="1"/>
          <w:bCs w:val="1"/>
          <w:rtl w:val="0"/>
        </w:rPr>
        <w:t xml:space="preserve">1. Data Collection and Preprocessing</w:t>
      </w:r>
    </w:p>
    <w:p w:rsidR="00000000" w:rsidDel="00000000" w:rsidP="00000000" w:rsidRDefault="00000000" w:rsidRPr="00000000" w14:paraId="00000018">
      <w:pPr>
        <w:rPr/>
      </w:pPr>
      <w:r w:rsidDel="00000000" w:rsidR="00000000" w:rsidRPr="00000000">
        <w:rPr>
          <w:rtl w:val="0"/>
        </w:rPr>
        <w:t xml:space="preserve">The study utilizes the provided e-book subscriber dataset as the primary source of information. The dataset contains demographic attributes, subscription details, and user engagement metrics that reflect subscriber interactions with the platform. Before conducting the analysis, the dataset undergoes a comprehensive preprocessing stage involving the identification and treatment of missing values, removal of duplicate records, correction of inconsistent data formats, and validation of data quality. Outliers and invalid entries are also examined to ensure the accuracy and consistency of the dataset. These preprocessing steps create a reliable foundation for subsequent exploratory analysis. This stage is guided by the behavioral churn signals identified in the literature—login frequency, session duration, and feature usage—which are treated as key variables throughout the analysis and segmentation process.</w:t>
      </w:r>
    </w:p>
    <w:p w:rsidR="00000000" w:rsidDel="00000000" w:rsidP="00000000" w:rsidRDefault="00000000" w:rsidRPr="00000000" w14:paraId="00000019">
      <w:pPr>
        <w:rPr>
          <w:b w:val="1"/>
          <w:bCs w:val="1"/>
        </w:rPr>
      </w:pPr>
      <w:r w:rsidDel="00000000" w:rsidR="00000000" w:rsidRPr="00000000">
        <w:rPr>
          <w:b w:val="1"/>
          <w:bCs w:val="1"/>
          <w:rtl w:val="0"/>
        </w:rPr>
        <w:t xml:space="preserve">2. Subscriber Segmentation</w:t>
      </w:r>
    </w:p>
    <w:p w:rsidR="00000000" w:rsidDel="00000000" w:rsidP="00000000" w:rsidRDefault="00000000" w:rsidRPr="00000000" w14:paraId="0000001A">
      <w:pPr>
        <w:rPr/>
      </w:pPr>
      <w:r w:rsidDel="00000000" w:rsidR="00000000" w:rsidRPr="00000000">
        <w:rPr>
          <w:rtl w:val="0"/>
        </w:rPr>
        <w:t xml:space="preserve">Subscribers are categorized into meaningful groups based on both demographic and behavioral characteristics. Demographic variables such as age, gender, and subscription type are analyzed alongside behavioral indicators including login frequency, reading duration, number of books accessed, and recency of activity. Based on these characteristics, subscribers are classified into engagement categories such as highly engaged, moderately engaged, inactive, and churn-risk users. This segmentation enables a deeper understanding of subscriber behavior and helps identify user groups requiring targeted engagement and retention strategies. Classifying subscribers into Active, Inactive, and Churned categories in this way directly mirrors the personas identified in segmentation research, grounding the study's classification scheme in established findings.</w:t>
      </w:r>
    </w:p>
    <w:p w:rsidR="00000000" w:rsidDel="00000000" w:rsidP="00000000" w:rsidRDefault="00000000" w:rsidRPr="00000000" w14:paraId="0000001B">
      <w:pPr>
        <w:rPr>
          <w:b w:val="1"/>
          <w:bCs w:val="1"/>
        </w:rPr>
      </w:pPr>
      <w:r w:rsidDel="00000000" w:rsidR="00000000" w:rsidRPr="00000000">
        <w:rPr>
          <w:b w:val="1"/>
          <w:bCs w:val="1"/>
          <w:rtl w:val="0"/>
        </w:rPr>
        <w:t xml:space="preserve">3. Engagement Scoring</w:t>
      </w:r>
    </w:p>
    <w:p w:rsidR="00000000" w:rsidDel="00000000" w:rsidP="00000000" w:rsidRDefault="00000000" w:rsidRPr="00000000" w14:paraId="0000001C">
      <w:pPr>
        <w:rPr/>
      </w:pPr>
      <w:r w:rsidDel="00000000" w:rsidR="00000000" w:rsidRPr="00000000">
        <w:rPr>
          <w:rtl w:val="0"/>
        </w:rPr>
        <w:t xml:space="preserve">An engagement scoring framework is developed to quantitatively evaluate subscriber activity across the platform. The scoring model incorporates key engagement metrics including login frequency, average reading duration, books accessed, and recency of platform usage. Each subscriber is assigned an engagement score that reflects their overall interaction with the platform. Higher scores indicate active and loyal subscribers, whereas lower scores help identify users exhibiting declining engagement or potential churn. The engagement scoring process provides a structured approach for comparing subscriber activity levels and assessing overall platform engagement. In this way, the scoring framework operationalizes the engagement drivers identified in the literature, capturing multiple dimensions of subscriber interaction to enable meaningful comparison between active and inactive subscribers.</w:t>
      </w:r>
    </w:p>
    <w:p w:rsidR="00000000" w:rsidDel="00000000" w:rsidP="00000000" w:rsidRDefault="00000000" w:rsidRPr="00000000" w14:paraId="0000001D">
      <w:pPr>
        <w:rPr>
          <w:b w:val="1"/>
          <w:bCs w:val="1"/>
        </w:rPr>
      </w:pPr>
      <w:r w:rsidDel="00000000" w:rsidR="00000000" w:rsidRPr="00000000">
        <w:rPr>
          <w:b w:val="1"/>
          <w:bCs w:val="1"/>
          <w:rtl w:val="0"/>
        </w:rPr>
        <w:t xml:space="preserve">4. Exploratory Data Analysis and Visualization</w:t>
      </w:r>
    </w:p>
    <w:p w:rsidR="00000000" w:rsidDel="00000000" w:rsidP="00000000" w:rsidRDefault="00000000" w:rsidRPr="00000000" w14:paraId="0000001E">
      <w:pPr>
        <w:rPr/>
      </w:pPr>
      <w:r w:rsidDel="00000000" w:rsidR="00000000" w:rsidRPr="00000000">
        <w:rPr>
          <w:rtl w:val="0"/>
        </w:rPr>
        <w:t xml:space="preserve">Exploratory Data Analysis (EDA) is performed to uncover meaningful patterns and relationships within the dataset. Descriptive statistical techniques are used to summarize subscriber characteristics, while visualization tools facilitate intuitive interpretation of the findings. Various graphical representations, including bar charts, pie charts, histograms, box plots, scatter plots, and correlation heatmaps, are generated to examine distributions, detect outliers, identify trends, and analyze relationships among engagement variables. These visualizations support the identification of behavioral factors that influence subscriber engagement, inactivity, and churn while providing valuable insights for data-driven decision-making. This stage forms the analytical foundation of the project, echoing the literature's emphasis on descriptive statistics, visualizations, and correlation analysis as central tools for retention insight.</w:t>
      </w:r>
    </w:p>
    <w:p w:rsidR="00000000" w:rsidDel="00000000" w:rsidP="00000000" w:rsidRDefault="00000000" w:rsidRPr="00000000" w14:paraId="0000001F">
      <w:pPr>
        <w:rPr>
          <w:b w:val="1"/>
          <w:bCs w:val="1"/>
        </w:rPr>
      </w:pPr>
      <w:r w:rsidDel="00000000" w:rsidR="00000000" w:rsidRPr="00000000">
        <w:rPr>
          <w:b w:val="1"/>
          <w:bCs w:val="1"/>
          <w:rtl w:val="0"/>
        </w:rPr>
        <w:t xml:space="preserve">5. Insight Generation and Interpretation</w:t>
      </w:r>
    </w:p>
    <w:p w:rsidR="00000000" w:rsidDel="00000000" w:rsidP="00000000" w:rsidRDefault="00000000" w:rsidRPr="00000000" w14:paraId="00000020">
      <w:pPr>
        <w:rPr/>
      </w:pPr>
      <w:r w:rsidDel="00000000" w:rsidR="00000000" w:rsidRPr="00000000">
        <w:rPr>
          <w:rtl w:val="0"/>
        </w:rPr>
        <w:t xml:space="preserve">The final stage of the methodology focuses on interpreting the analytical findings to generate actionable business insights. The identified behavioral patterns are used to compare active, inactive, and churn-risk subscribers and determine the key factors affecting subscriber engagement. These insights provide a basis for recommending personalized engagement strategies, customer retention initiatives, and platform improvements aimed at enhancing user satisfaction and reducing subscriber churn. Furthermore, the findings establish a strong analytical foundation for future predictive models related to churn prediction and recommendation systems. These insights also supply the business context for segment-specific recommendations that can inform personalized retention strategies, consistent with the literature on personalization as a retention lever. By grounding the analysis in these established research themes, the project produces insights that are both empirically defensible and actionable for platform retention strategy.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References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Liu, Z. (2005). Reading behavior in the digital environment: Changes in reading behavior over the past ten years. </w:t>
      </w:r>
      <w:r w:rsidDel="00000000" w:rsidR="00000000" w:rsidRPr="00000000">
        <w:rPr>
          <w:i w:val="1"/>
          <w:iCs w:val="1"/>
          <w:rtl w:val="0"/>
        </w:rPr>
        <w:t xml:space="preserve">Journal of Documentation, 61</w:t>
      </w:r>
      <w:r w:rsidDel="00000000" w:rsidR="00000000" w:rsidRPr="00000000">
        <w:rPr>
          <w:sz w:val="24"/>
          <w:szCs w:val="24"/>
          <w:rtl w:val="0"/>
        </w:rPr>
        <w:t xml:space="preserve">(6), 700–712. </w:t>
      </w:r>
      <w:hyperlink r:id="rId6">
        <w:r w:rsidDel="00000000" w:rsidR="00000000" w:rsidRPr="00000000">
          <w:rPr>
            <w:color w:val="1155cc"/>
            <w:sz w:val="24"/>
            <w:szCs w:val="24"/>
            <w:u w:val="single"/>
            <w:rtl w:val="0"/>
          </w:rPr>
          <w:t xml:space="preserve">https://www.emerald.com/jd/article-abstract/61/6/700/204933/Reading-behavior-in-the-digital-environmentChanges?redirectedFrom=fulltext</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sz w:val="24"/>
          <w:szCs w:val="24"/>
          <w:rtl w:val="0"/>
        </w:rPr>
        <w:t xml:space="preserve">Mangen, A., Walgermo, B. R., &amp; Brønnick, K. (2013). Reading linear texts on paper versus computer screen: Effects on reading comprehension. </w:t>
      </w:r>
      <w:r w:rsidDel="00000000" w:rsidR="00000000" w:rsidRPr="00000000">
        <w:rPr>
          <w:i w:val="1"/>
          <w:iCs w:val="1"/>
          <w:rtl w:val="0"/>
        </w:rPr>
        <w:t xml:space="preserve">International Journal of Educational Research, 58</w:t>
      </w:r>
      <w:r w:rsidDel="00000000" w:rsidR="00000000" w:rsidRPr="00000000">
        <w:rPr>
          <w:sz w:val="24"/>
          <w:szCs w:val="24"/>
          <w:rtl w:val="0"/>
        </w:rPr>
        <w:t xml:space="preserve">, 61–68.</w:t>
      </w:r>
      <w:hyperlink r:id="rId7">
        <w:r w:rsidDel="00000000" w:rsidR="00000000" w:rsidRPr="00000000">
          <w:rPr>
            <w:color w:val="1155cc"/>
            <w:sz w:val="24"/>
            <w:szCs w:val="24"/>
            <w:u w:val="single"/>
            <w:rtl w:val="0"/>
          </w:rPr>
          <w:t xml:space="preserve">https://www.sciencedirect.com/science/article/abs/pii/S0883035512001127?via%3Dihub</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4"/>
          <w:szCs w:val="24"/>
          <w:u w:val="none"/>
        </w:rPr>
      </w:pPr>
      <w:r w:rsidDel="00000000" w:rsidR="00000000" w:rsidRPr="00000000">
        <w:rPr>
          <w:sz w:val="24"/>
          <w:szCs w:val="24"/>
          <w:rtl w:val="0"/>
        </w:rPr>
        <w:t xml:space="preserve">Delgado, P., Vargas, C., Ackerman, R., &amp; Salmerón, L. (2018). Don't throw away your printed books: A meta-analysis on the effects of reading media on reading comprehension. </w:t>
      </w:r>
      <w:r w:rsidDel="00000000" w:rsidR="00000000" w:rsidRPr="00000000">
        <w:rPr>
          <w:i w:val="1"/>
          <w:iCs w:val="1"/>
          <w:sz w:val="24"/>
          <w:szCs w:val="24"/>
          <w:rtl w:val="0"/>
        </w:rPr>
        <w:t xml:space="preserve">Educational Research Review, 25</w:t>
      </w:r>
      <w:r w:rsidDel="00000000" w:rsidR="00000000" w:rsidRPr="00000000">
        <w:rPr>
          <w:sz w:val="24"/>
          <w:szCs w:val="24"/>
          <w:rtl w:val="0"/>
        </w:rPr>
        <w:t xml:space="preserve">, 23–38.</w:t>
      </w:r>
      <w:hyperlink r:id="rId8">
        <w:r w:rsidDel="00000000" w:rsidR="00000000" w:rsidRPr="00000000">
          <w:rPr>
            <w:color w:val="1155cc"/>
            <w:sz w:val="24"/>
            <w:szCs w:val="24"/>
            <w:u w:val="single"/>
            <w:rtl w:val="0"/>
          </w:rPr>
          <w:t xml:space="preserve">https://www.sciencedirect.com/science/article/pii/S1747938X18300101?via%3Dihub</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4"/>
          <w:szCs w:val="24"/>
          <w:u w:val="none"/>
        </w:rPr>
      </w:pPr>
      <w:r w:rsidDel="00000000" w:rsidR="00000000" w:rsidRPr="00000000">
        <w:rPr>
          <w:sz w:val="24"/>
          <w:szCs w:val="24"/>
          <w:rtl w:val="0"/>
        </w:rPr>
        <w:t xml:space="preserve">Rogowsky, B. A., Calhoun, B. M., &amp; Tallal, P. (2016). Does modality matter? The effects of reading, listening, and dual modality on comprehension. </w:t>
      </w:r>
      <w:r w:rsidDel="00000000" w:rsidR="00000000" w:rsidRPr="00000000">
        <w:rPr>
          <w:i w:val="1"/>
          <w:iCs w:val="1"/>
          <w:sz w:val="24"/>
          <w:szCs w:val="24"/>
          <w:rtl w:val="0"/>
        </w:rPr>
        <w:t xml:space="preserve">SAGE Open, 6</w:t>
      </w:r>
      <w:r w:rsidDel="00000000" w:rsidR="00000000" w:rsidRPr="00000000">
        <w:rPr>
          <w:sz w:val="24"/>
          <w:szCs w:val="24"/>
          <w:rtl w:val="0"/>
        </w:rPr>
        <w:t xml:space="preserve">(3), 1–9.</w:t>
      </w:r>
      <w:hyperlink r:id="rId9">
        <w:r w:rsidDel="00000000" w:rsidR="00000000" w:rsidRPr="00000000">
          <w:rPr>
            <w:color w:val="1155cc"/>
            <w:sz w:val="24"/>
            <w:szCs w:val="24"/>
            <w:u w:val="single"/>
            <w:rtl w:val="0"/>
          </w:rPr>
          <w:t xml:space="preserve">https://journals.sagepub.com/doi/10.1177/2158244016669550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4"/>
          <w:szCs w:val="24"/>
        </w:rPr>
      </w:pPr>
      <w:r w:rsidDel="00000000" w:rsidR="00000000" w:rsidRPr="00000000">
        <w:rPr>
          <w:sz w:val="23"/>
          <w:szCs w:val="23"/>
          <w:rtl w:val="0"/>
        </w:rPr>
        <w:t xml:space="preserve">Lai, J.-Y., &amp; Chang, C.-Y. (2011). User attitudes toward dedicated e-book readers for reading: The effects of convenience, compatibility and media richness. Online Information Review, 35(4), 558–580.</w:t>
      </w:r>
      <w:hyperlink r:id="rId10">
        <w:r w:rsidDel="00000000" w:rsidR="00000000" w:rsidRPr="00000000">
          <w:rPr>
            <w:color w:val="1155cc"/>
            <w:sz w:val="23"/>
            <w:szCs w:val="23"/>
            <w:u w:val="single"/>
            <w:rtl w:val="0"/>
          </w:rPr>
          <w:t xml:space="preserve">https://www.emerald.com/oir/article-abstract/35/4/558/447311/User-attitudes-toward-dedicated-e-book-readers-for?redirectedFrom=fulltext</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4"/>
          <w:szCs w:val="24"/>
          <w:u w:val="none"/>
        </w:rPr>
      </w:pPr>
      <w:r w:rsidDel="00000000" w:rsidR="00000000" w:rsidRPr="00000000">
        <w:rPr>
          <w:sz w:val="24"/>
          <w:szCs w:val="24"/>
          <w:rtl w:val="0"/>
        </w:rPr>
        <w:t xml:space="preserve">Reich, S., Yau, J. C., &amp; Warschauer, M. (2016). Tablet-based ebooks for young children: What does the research say? </w:t>
      </w:r>
      <w:r w:rsidDel="00000000" w:rsidR="00000000" w:rsidRPr="00000000">
        <w:rPr>
          <w:i w:val="1"/>
          <w:iCs w:val="1"/>
          <w:sz w:val="24"/>
          <w:szCs w:val="24"/>
          <w:rtl w:val="0"/>
        </w:rPr>
        <w:t xml:space="preserve">Journal of Developmental and Behavioral Pediatrics, 37</w:t>
      </w:r>
      <w:r w:rsidDel="00000000" w:rsidR="00000000" w:rsidRPr="00000000">
        <w:rPr>
          <w:sz w:val="24"/>
          <w:szCs w:val="24"/>
          <w:rtl w:val="0"/>
        </w:rPr>
        <w:t xml:space="preserve">(7), 585–591.</w:t>
      </w:r>
      <w:hyperlink r:id="rId11">
        <w:r w:rsidDel="00000000" w:rsidR="00000000" w:rsidRPr="00000000">
          <w:rPr>
            <w:color w:val="1155cc"/>
            <w:sz w:val="24"/>
            <w:szCs w:val="24"/>
            <w:u w:val="single"/>
            <w:rtl w:val="0"/>
          </w:rPr>
          <w:t xml:space="preserve">https://www.ovid.com/jnls/jrnldbp/abstract/10.1097/dbp.0000000000000335~tablet-based-ebooks-for-young-children-what-does-the?redirectionsource=fulltextview</w:t>
        </w:r>
      </w:hyperlink>
      <w:r w:rsidDel="00000000" w:rsidR="00000000" w:rsidRPr="00000000">
        <w:rPr>
          <w:rtl w:val="0"/>
        </w:rPr>
      </w:r>
    </w:p>
    <w:p w:rsidR="00000000" w:rsidDel="00000000" w:rsidP="00000000" w:rsidRDefault="00000000" w:rsidRPr="00000000" w14:paraId="0000002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Godinho de Matos, M., &amp; Ferreira, P. (2020). The effect of binge-watching on the subscription of video on demand: Results from randomized experiments. </w:t>
      </w:r>
      <w:r w:rsidDel="00000000" w:rsidR="00000000" w:rsidRPr="00000000">
        <w:rPr>
          <w:i w:val="1"/>
          <w:iCs w:val="1"/>
          <w:sz w:val="24"/>
          <w:szCs w:val="24"/>
          <w:rtl w:val="0"/>
        </w:rPr>
        <w:t xml:space="preserve">Information Systems Research, 31</w:t>
      </w:r>
      <w:r w:rsidDel="00000000" w:rsidR="00000000" w:rsidRPr="00000000">
        <w:rPr>
          <w:sz w:val="24"/>
          <w:szCs w:val="24"/>
          <w:rtl w:val="0"/>
        </w:rPr>
        <w:t xml:space="preserve">(4), 1337–1360. </w:t>
      </w:r>
      <w:hyperlink r:id="rId12">
        <w:r w:rsidDel="00000000" w:rsidR="00000000" w:rsidRPr="00000000">
          <w:rPr>
            <w:color w:val="1155cc"/>
            <w:sz w:val="24"/>
            <w:szCs w:val="24"/>
            <w:u w:val="single"/>
            <w:rtl w:val="0"/>
          </w:rPr>
          <w:t xml:space="preserve">https://pubsonline.informs.org/doi/10.1287/isre.2020.0948</w:t>
        </w:r>
      </w:hyperlink>
      <w:r w:rsidDel="00000000" w:rsidR="00000000" w:rsidRPr="00000000">
        <w:rPr>
          <w:rtl w:val="0"/>
        </w:rPr>
      </w:r>
    </w:p>
    <w:p w:rsidR="00000000" w:rsidDel="00000000" w:rsidP="00000000" w:rsidRDefault="00000000" w:rsidRPr="00000000" w14:paraId="0000002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Coussement, K., &amp; Van den Poel, D. (2008). Churn prediction in subscription services: An application of support vector machines while comparing two parameter-selection techniques. </w:t>
      </w:r>
      <w:r w:rsidDel="00000000" w:rsidR="00000000" w:rsidRPr="00000000">
        <w:rPr>
          <w:i w:val="1"/>
          <w:iCs w:val="1"/>
          <w:sz w:val="24"/>
          <w:szCs w:val="24"/>
          <w:rtl w:val="0"/>
        </w:rPr>
        <w:t xml:space="preserve">Expert Systems with Applications, 34</w:t>
      </w:r>
      <w:r w:rsidDel="00000000" w:rsidR="00000000" w:rsidRPr="00000000">
        <w:rPr>
          <w:sz w:val="24"/>
          <w:szCs w:val="24"/>
          <w:rtl w:val="0"/>
        </w:rPr>
        <w:t xml:space="preserve">(1), 313–327. </w:t>
      </w:r>
      <w:hyperlink r:id="rId13">
        <w:r w:rsidDel="00000000" w:rsidR="00000000" w:rsidRPr="00000000">
          <w:rPr>
            <w:color w:val="1155cc"/>
            <w:sz w:val="24"/>
            <w:szCs w:val="24"/>
            <w:u w:val="single"/>
            <w:rtl w:val="0"/>
          </w:rPr>
          <w:t xml:space="preserve">https://www.sciencedirect.com/science/article/abs/pii/S0957417406002806?via%3Dihub</w:t>
        </w:r>
      </w:hyperlink>
      <w:r w:rsidDel="00000000" w:rsidR="00000000" w:rsidRPr="00000000">
        <w:rPr>
          <w:rtl w:val="0"/>
        </w:rPr>
      </w:r>
    </w:p>
    <w:p w:rsidR="00000000" w:rsidDel="00000000" w:rsidP="00000000" w:rsidRDefault="00000000" w:rsidRPr="00000000" w14:paraId="0000002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Rani, M. (2023). </w:t>
      </w:r>
      <w:r w:rsidDel="00000000" w:rsidR="00000000" w:rsidRPr="00000000">
        <w:rPr>
          <w:i w:val="1"/>
          <w:iCs w:val="1"/>
          <w:sz w:val="24"/>
          <w:szCs w:val="24"/>
          <w:rtl w:val="0"/>
        </w:rPr>
        <w:t xml:space="preserve">Understanding and managing customer churning in the SVOD industry</w:t>
      </w:r>
      <w:r w:rsidDel="00000000" w:rsidR="00000000" w:rsidRPr="00000000">
        <w:rPr>
          <w:sz w:val="24"/>
          <w:szCs w:val="24"/>
          <w:rtl w:val="0"/>
        </w:rPr>
        <w:t xml:space="preserve"> [Master's thesis, Universidade Católica Portuguesa]. </w:t>
      </w:r>
      <w:hyperlink r:id="rId14">
        <w:r w:rsidDel="00000000" w:rsidR="00000000" w:rsidRPr="00000000">
          <w:rPr>
            <w:color w:val="1155cc"/>
            <w:sz w:val="24"/>
            <w:szCs w:val="24"/>
            <w:u w:val="single"/>
            <w:rtl w:val="0"/>
          </w:rPr>
          <w:t xml:space="preserve">https://repositorio.ucp.pt/entities/publication/2fc4c695-18cc-4c1b-88d9-e14132d4d08b</w:t>
        </w:r>
      </w:hyperlink>
      <w:r w:rsidDel="00000000" w:rsidR="00000000" w:rsidRPr="00000000">
        <w:rPr>
          <w:rtl w:val="0"/>
        </w:rPr>
      </w:r>
    </w:p>
    <w:p w:rsidR="00000000" w:rsidDel="00000000" w:rsidP="00000000" w:rsidRDefault="00000000" w:rsidRPr="00000000" w14:paraId="0000002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Manomuth, V., Vinsonhaler, J. F., &amp; Scheffelmaier, G. W. (2006). Why visitors leave web sites without buying: Toward a unified theory of web site design. </w:t>
      </w:r>
      <w:r w:rsidDel="00000000" w:rsidR="00000000" w:rsidRPr="00000000">
        <w:rPr>
          <w:i w:val="1"/>
          <w:iCs w:val="1"/>
          <w:sz w:val="24"/>
          <w:szCs w:val="24"/>
          <w:rtl w:val="0"/>
        </w:rPr>
        <w:t xml:space="preserve">Issues in Information Systems, 7</w:t>
      </w:r>
      <w:r w:rsidDel="00000000" w:rsidR="00000000" w:rsidRPr="00000000">
        <w:rPr>
          <w:sz w:val="24"/>
          <w:szCs w:val="24"/>
          <w:rtl w:val="0"/>
        </w:rPr>
        <w:t xml:space="preserve">(2), 213–219. </w:t>
      </w:r>
      <w:hyperlink r:id="rId15">
        <w:r w:rsidDel="00000000" w:rsidR="00000000" w:rsidRPr="00000000">
          <w:rPr>
            <w:color w:val="1155cc"/>
            <w:sz w:val="24"/>
            <w:szCs w:val="24"/>
            <w:u w:val="single"/>
            <w:rtl w:val="0"/>
          </w:rPr>
          <w:t xml:space="preserve">https://iacis.org/iis/2006/Manomuth_Vinsonhaler_Scheffelmaier.pdf</w:t>
        </w:r>
      </w:hyperlink>
      <w:r w:rsidDel="00000000" w:rsidR="00000000" w:rsidRPr="00000000">
        <w:rPr>
          <w:rtl w:val="0"/>
        </w:rPr>
      </w:r>
    </w:p>
    <w:p w:rsidR="00000000" w:rsidDel="00000000" w:rsidP="00000000" w:rsidRDefault="00000000" w:rsidRPr="00000000" w14:paraId="0000002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Wang, Q. Z., Yang, S., Liu, M. L., Cao, Z., &amp; Ma, Q. G. (2014). An eye-tracking study of website complexity from cognitive load perspective. </w:t>
      </w:r>
      <w:r w:rsidDel="00000000" w:rsidR="00000000" w:rsidRPr="00000000">
        <w:rPr>
          <w:i w:val="1"/>
          <w:iCs w:val="1"/>
          <w:sz w:val="24"/>
          <w:szCs w:val="24"/>
          <w:rtl w:val="0"/>
        </w:rPr>
        <w:t xml:space="preserve">Decision Support Systems, 62</w:t>
      </w:r>
      <w:r w:rsidDel="00000000" w:rsidR="00000000" w:rsidRPr="00000000">
        <w:rPr>
          <w:sz w:val="24"/>
          <w:szCs w:val="24"/>
          <w:rtl w:val="0"/>
        </w:rPr>
        <w:t xml:space="preserve">, 1–10. </w:t>
      </w:r>
      <w:hyperlink r:id="rId16">
        <w:r w:rsidDel="00000000" w:rsidR="00000000" w:rsidRPr="00000000">
          <w:rPr>
            <w:color w:val="1155cc"/>
            <w:sz w:val="24"/>
            <w:szCs w:val="24"/>
            <w:u w:val="single"/>
            <w:rtl w:val="0"/>
          </w:rPr>
          <w:t xml:space="preserve">https://www.sciencedirect.com/science/article/abs/pii/S0167923614000402?via%3Dihub</w:t>
        </w:r>
      </w:hyperlink>
      <w:r w:rsidDel="00000000" w:rsidR="00000000" w:rsidRPr="00000000">
        <w:rPr>
          <w:rtl w:val="0"/>
        </w:rPr>
      </w:r>
    </w:p>
    <w:p w:rsidR="00000000" w:rsidDel="00000000" w:rsidP="00000000" w:rsidRDefault="00000000" w:rsidRPr="00000000" w14:paraId="0000002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Szymanski, D. M., &amp; Henard, D. H. (2001). Customer satisfaction: A meta-analysis of the empirical evidence. </w:t>
      </w:r>
      <w:r w:rsidDel="00000000" w:rsidR="00000000" w:rsidRPr="00000000">
        <w:rPr>
          <w:i w:val="1"/>
          <w:iCs w:val="1"/>
          <w:sz w:val="24"/>
          <w:szCs w:val="24"/>
          <w:rtl w:val="0"/>
        </w:rPr>
        <w:t xml:space="preserve">Journal of the Academy of Marketing Science, 29</w:t>
      </w:r>
      <w:r w:rsidDel="00000000" w:rsidR="00000000" w:rsidRPr="00000000">
        <w:rPr>
          <w:sz w:val="24"/>
          <w:szCs w:val="24"/>
          <w:rtl w:val="0"/>
        </w:rPr>
        <w:t xml:space="preserve">(1), 16–35. </w:t>
      </w:r>
      <w:hyperlink r:id="rId17">
        <w:r w:rsidDel="00000000" w:rsidR="00000000" w:rsidRPr="00000000">
          <w:rPr>
            <w:color w:val="1155cc"/>
            <w:sz w:val="24"/>
            <w:szCs w:val="24"/>
            <w:u w:val="single"/>
            <w:rtl w:val="0"/>
          </w:rPr>
          <w:t xml:space="preserve">https://link.springer.com/article/10.1177/0092070301291002</w:t>
        </w:r>
      </w:hyperlink>
      <w:r w:rsidDel="00000000" w:rsidR="00000000" w:rsidRPr="00000000">
        <w:rPr>
          <w:color w:val="1155cc"/>
          <w:sz w:val="24"/>
          <w:szCs w:val="24"/>
          <w:u w:val="single"/>
          <w:rtl w:val="0"/>
        </w:rPr>
        <w:t xml:space="preserve"> </w:t>
      </w:r>
    </w:p>
    <w:p w:rsidR="00000000" w:rsidDel="00000000" w:rsidP="00000000" w:rsidRDefault="00000000" w:rsidRPr="00000000" w14:paraId="0000002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Majid, S., Yu, C., Chang, Y., &amp; Zilu, C. (2019). Perceptions and e-book use behaviour of university students. </w:t>
      </w:r>
      <w:r w:rsidDel="00000000" w:rsidR="00000000" w:rsidRPr="00000000">
        <w:rPr>
          <w:i w:val="1"/>
          <w:iCs w:val="1"/>
          <w:sz w:val="24"/>
          <w:szCs w:val="24"/>
          <w:rtl w:val="0"/>
        </w:rPr>
        <w:t xml:space="preserve">International Journal of Digital Society, 10</w:t>
      </w:r>
      <w:r w:rsidDel="00000000" w:rsidR="00000000" w:rsidRPr="00000000">
        <w:rPr>
          <w:sz w:val="24"/>
          <w:szCs w:val="24"/>
          <w:rtl w:val="0"/>
        </w:rPr>
        <w:t xml:space="preserve">(4), 1534–1540. </w:t>
      </w:r>
      <w:hyperlink r:id="rId18">
        <w:r w:rsidDel="00000000" w:rsidR="00000000" w:rsidRPr="00000000">
          <w:rPr>
            <w:color w:val="1155cc"/>
            <w:sz w:val="24"/>
            <w:szCs w:val="24"/>
            <w:u w:val="single"/>
            <w:rtl w:val="0"/>
          </w:rPr>
          <w:t xml:space="preserve">https://infonomics-society.org/wp-content/uploads/Perceptions-and-E-book-Use-Behavior-of-University-Students.pdf</w:t>
        </w:r>
      </w:hyperlink>
      <w:r w:rsidDel="00000000" w:rsidR="00000000" w:rsidRPr="00000000">
        <w:rPr>
          <w:sz w:val="24"/>
          <w:szCs w:val="24"/>
          <w:rtl w:val="0"/>
        </w:rPr>
        <w:t xml:space="preserve"> </w:t>
      </w:r>
    </w:p>
    <w:p w:rsidR="00000000" w:rsidDel="00000000" w:rsidP="00000000" w:rsidRDefault="00000000" w:rsidRPr="00000000" w14:paraId="00000030">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Foasberg, N. M. (2011). Adoption of e-book readers among college students: A survey. </w:t>
      </w:r>
      <w:r w:rsidDel="00000000" w:rsidR="00000000" w:rsidRPr="00000000">
        <w:rPr>
          <w:i w:val="1"/>
          <w:iCs w:val="1"/>
          <w:sz w:val="24"/>
          <w:szCs w:val="24"/>
          <w:rtl w:val="0"/>
        </w:rPr>
        <w:t xml:space="preserve">Information Technology and Libraries, 30</w:t>
      </w:r>
      <w:r w:rsidDel="00000000" w:rsidR="00000000" w:rsidRPr="00000000">
        <w:rPr>
          <w:sz w:val="24"/>
          <w:szCs w:val="24"/>
          <w:rtl w:val="0"/>
        </w:rPr>
        <w:t xml:space="preserve">(3), 108–128. </w:t>
      </w:r>
      <w:hyperlink r:id="rId19">
        <w:r w:rsidDel="00000000" w:rsidR="00000000" w:rsidRPr="00000000">
          <w:rPr>
            <w:color w:val="1155cc"/>
            <w:sz w:val="24"/>
            <w:szCs w:val="24"/>
            <w:u w:val="single"/>
            <w:rtl w:val="0"/>
          </w:rPr>
          <w:t xml:space="preserve">https://ital.corejournals.org/index.php/ital/article/view/1769</w:t>
        </w:r>
      </w:hyperlink>
      <w:r w:rsidDel="00000000" w:rsidR="00000000" w:rsidRPr="00000000">
        <w:rPr>
          <w:rtl w:val="0"/>
        </w:rPr>
      </w:r>
    </w:p>
    <w:p w:rsidR="00000000" w:rsidDel="00000000" w:rsidP="00000000" w:rsidRDefault="00000000" w:rsidRPr="00000000" w14:paraId="00000031">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Clinton-Lisell, V. (2022). Listening ears or reading eyes: A meta-analysis of reading and listening comprehension comparisons. </w:t>
      </w:r>
      <w:r w:rsidDel="00000000" w:rsidR="00000000" w:rsidRPr="00000000">
        <w:rPr>
          <w:i w:val="1"/>
          <w:iCs w:val="1"/>
          <w:sz w:val="24"/>
          <w:szCs w:val="24"/>
          <w:rtl w:val="0"/>
        </w:rPr>
        <w:t xml:space="preserve">Review of Educational Research, 92</w:t>
      </w:r>
      <w:r w:rsidDel="00000000" w:rsidR="00000000" w:rsidRPr="00000000">
        <w:rPr>
          <w:sz w:val="24"/>
          <w:szCs w:val="24"/>
          <w:rtl w:val="0"/>
        </w:rPr>
        <w:t xml:space="preserve">(4), 543–582. </w:t>
      </w:r>
      <w:hyperlink r:id="rId20">
        <w:r w:rsidDel="00000000" w:rsidR="00000000" w:rsidRPr="00000000">
          <w:rPr>
            <w:color w:val="1155cc"/>
            <w:sz w:val="24"/>
            <w:szCs w:val="24"/>
            <w:u w:val="single"/>
            <w:rtl w:val="0"/>
          </w:rPr>
          <w:t xml:space="preserve">https://journals.sagepub.com/doi/10.3102/00346543211060871</w:t>
        </w:r>
      </w:hyperlink>
      <w:r w:rsidDel="00000000" w:rsidR="00000000" w:rsidRPr="00000000">
        <w:rPr>
          <w:rtl w:val="0"/>
        </w:rPr>
      </w:r>
    </w:p>
    <w:p w:rsidR="00000000" w:rsidDel="00000000" w:rsidP="00000000" w:rsidRDefault="00000000" w:rsidRPr="00000000" w14:paraId="00000032">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Vuorinen, P. T. E., Tatler, B. W., &amp; Keller, F. (2024). Tracking e-reading behavior: Uncovering the effects of task context, electronic experience, and motivation. </w:t>
      </w:r>
      <w:r w:rsidDel="00000000" w:rsidR="00000000" w:rsidRPr="00000000">
        <w:rPr>
          <w:i w:val="1"/>
          <w:iCs w:val="1"/>
          <w:sz w:val="24"/>
          <w:szCs w:val="24"/>
          <w:rtl w:val="0"/>
        </w:rPr>
        <w:t xml:space="preserve">Frontiers in Education, 8</w:t>
      </w:r>
      <w:r w:rsidDel="00000000" w:rsidR="00000000" w:rsidRPr="00000000">
        <w:rPr>
          <w:sz w:val="24"/>
          <w:szCs w:val="24"/>
          <w:rtl w:val="0"/>
        </w:rPr>
        <w:t xml:space="preserve">, 1302701 .</w:t>
      </w:r>
      <w:hyperlink r:id="rId21">
        <w:r w:rsidDel="00000000" w:rsidR="00000000" w:rsidRPr="00000000">
          <w:rPr>
            <w:color w:val="1155cc"/>
            <w:sz w:val="24"/>
            <w:szCs w:val="24"/>
            <w:u w:val="single"/>
            <w:rtl w:val="0"/>
          </w:rPr>
          <w:t xml:space="preserve">https://www.frontiersin.org/journals/education/articles/10.3389/feduc.2023.1302701/full</w:t>
        </w:r>
      </w:hyperlink>
      <w:r w:rsidDel="00000000" w:rsidR="00000000" w:rsidRPr="00000000">
        <w:rPr>
          <w:rtl w:val="0"/>
        </w:rPr>
      </w:r>
    </w:p>
    <w:p w:rsidR="00000000" w:rsidDel="00000000" w:rsidP="00000000" w:rsidRDefault="00000000" w:rsidRPr="00000000" w14:paraId="00000033">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Chen, C.-H., Yang, S. J. H., Weng, J.-X., Ogata, H., &amp; Su, C.-Y. (2021). Predicting at-risk university students based on their e-book reading behaviours by using machine learning classifiers. </w:t>
      </w:r>
      <w:r w:rsidDel="00000000" w:rsidR="00000000" w:rsidRPr="00000000">
        <w:rPr>
          <w:i w:val="1"/>
          <w:iCs w:val="1"/>
          <w:sz w:val="24"/>
          <w:szCs w:val="24"/>
          <w:rtl w:val="0"/>
        </w:rPr>
        <w:t xml:space="preserve">Australasian Journal of Educational Technology, 37</w:t>
      </w:r>
      <w:r w:rsidDel="00000000" w:rsidR="00000000" w:rsidRPr="00000000">
        <w:rPr>
          <w:sz w:val="24"/>
          <w:szCs w:val="24"/>
          <w:rtl w:val="0"/>
        </w:rPr>
        <w:t xml:space="preserve">(4), 130–144. </w:t>
      </w:r>
      <w:hyperlink r:id="rId22">
        <w:r w:rsidDel="00000000" w:rsidR="00000000" w:rsidRPr="00000000">
          <w:rPr>
            <w:color w:val="1155cc"/>
            <w:sz w:val="24"/>
            <w:szCs w:val="24"/>
            <w:u w:val="single"/>
            <w:rtl w:val="0"/>
          </w:rPr>
          <w:t xml:space="preserve">https://ajet.org.au/index.php/AJET/article/view/6116</w:t>
        </w:r>
      </w:hyperlink>
      <w:r w:rsidDel="00000000" w:rsidR="00000000" w:rsidRPr="00000000">
        <w:rPr>
          <w:rtl w:val="0"/>
        </w:rPr>
      </w:r>
    </w:p>
    <w:p w:rsidR="00000000" w:rsidDel="00000000" w:rsidP="00000000" w:rsidRDefault="00000000" w:rsidRPr="00000000" w14:paraId="00000034">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Zielnicki, K., Aridor, G., Bibaut, A., Tran, A., Chou, W., &amp; Kallus, N. (2025). The value of personalized recommendations: Evidence from Netflix. </w:t>
      </w:r>
      <w:hyperlink r:id="rId23">
        <w:r w:rsidDel="00000000" w:rsidR="00000000" w:rsidRPr="00000000">
          <w:rPr>
            <w:color w:val="1155cc"/>
            <w:sz w:val="24"/>
            <w:szCs w:val="24"/>
            <w:u w:val="single"/>
            <w:rtl w:val="0"/>
          </w:rPr>
          <w:t xml:space="preserve">https://arxiv.org/abs/2511.07280</w:t>
        </w:r>
      </w:hyperlink>
      <w:r w:rsidDel="00000000" w:rsidR="00000000" w:rsidRPr="00000000">
        <w:rPr>
          <w:rtl w:val="0"/>
        </w:rPr>
      </w:r>
    </w:p>
    <w:p w:rsidR="00000000" w:rsidDel="00000000" w:rsidP="00000000" w:rsidRDefault="00000000" w:rsidRPr="00000000" w14:paraId="00000035">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Gomez-Uribe, C. A., &amp; Hunt, N. (2016). The Netflix recommender system: Algorithms, business value, and innovation. </w:t>
      </w:r>
      <w:r w:rsidDel="00000000" w:rsidR="00000000" w:rsidRPr="00000000">
        <w:rPr>
          <w:i w:val="1"/>
          <w:iCs w:val="1"/>
          <w:sz w:val="24"/>
          <w:szCs w:val="24"/>
          <w:rtl w:val="0"/>
        </w:rPr>
        <w:t xml:space="preserve">ACM Transactions on Management Information Systems, 6</w:t>
      </w:r>
      <w:r w:rsidDel="00000000" w:rsidR="00000000" w:rsidRPr="00000000">
        <w:rPr>
          <w:sz w:val="24"/>
          <w:szCs w:val="24"/>
          <w:rtl w:val="0"/>
        </w:rPr>
        <w:t xml:space="preserve">(4), 13:1–13:19. </w:t>
      </w:r>
      <w:hyperlink r:id="rId24">
        <w:r w:rsidDel="00000000" w:rsidR="00000000" w:rsidRPr="00000000">
          <w:rPr>
            <w:color w:val="1155cc"/>
            <w:sz w:val="24"/>
            <w:szCs w:val="24"/>
            <w:u w:val="single"/>
            <w:rtl w:val="0"/>
          </w:rPr>
          <w:t xml:space="preserve">https://dl.acm.org/doi/10.1145/2843948</w:t>
        </w:r>
      </w:hyperlink>
      <w:r w:rsidDel="00000000" w:rsidR="00000000" w:rsidRPr="00000000">
        <w:rPr>
          <w:rtl w:val="0"/>
        </w:rPr>
      </w:r>
    </w:p>
    <w:p w:rsidR="00000000" w:rsidDel="00000000" w:rsidP="00000000" w:rsidRDefault="00000000" w:rsidRPr="00000000" w14:paraId="00000036">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Hennig-Thurau, T., Malthouse, E. C., Friege, C., Gensler, S., Lobschat, L., Rangaswamy, A., &amp; Skiera, B. (2010). The impact of new media on customer relationships. </w:t>
      </w:r>
      <w:r w:rsidDel="00000000" w:rsidR="00000000" w:rsidRPr="00000000">
        <w:rPr>
          <w:i w:val="1"/>
          <w:iCs w:val="1"/>
          <w:sz w:val="24"/>
          <w:szCs w:val="24"/>
          <w:rtl w:val="0"/>
        </w:rPr>
        <w:t xml:space="preserve">Journal of Service Research, 13</w:t>
      </w:r>
      <w:r w:rsidDel="00000000" w:rsidR="00000000" w:rsidRPr="00000000">
        <w:rPr>
          <w:sz w:val="24"/>
          <w:szCs w:val="24"/>
          <w:rtl w:val="0"/>
        </w:rPr>
        <w:t xml:space="preserve">(3), 311–330. </w:t>
      </w:r>
      <w:hyperlink r:id="rId25">
        <w:r w:rsidDel="00000000" w:rsidR="00000000" w:rsidRPr="00000000">
          <w:rPr>
            <w:color w:val="1155cc"/>
            <w:sz w:val="24"/>
            <w:szCs w:val="24"/>
            <w:u w:val="single"/>
            <w:rtl w:val="0"/>
          </w:rPr>
          <w:t xml:space="preserve">https://journals.sagepub.com/doi/10.1177/1094670510375460</w:t>
        </w:r>
      </w:hyperlink>
      <w:r w:rsidDel="00000000" w:rsidR="00000000" w:rsidRPr="00000000">
        <w:rPr>
          <w:rtl w:val="0"/>
        </w:rPr>
      </w:r>
    </w:p>
    <w:p w:rsidR="00000000" w:rsidDel="00000000" w:rsidP="00000000" w:rsidRDefault="00000000" w:rsidRPr="00000000" w14:paraId="00000037">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Thomas, J. S., Blattberg, R. C., &amp; Fox, E. J. (2004). Recapturing lost customers. </w:t>
      </w:r>
      <w:r w:rsidDel="00000000" w:rsidR="00000000" w:rsidRPr="00000000">
        <w:rPr>
          <w:i w:val="1"/>
          <w:iCs w:val="1"/>
          <w:sz w:val="24"/>
          <w:szCs w:val="24"/>
          <w:rtl w:val="0"/>
        </w:rPr>
        <w:t xml:space="preserve">Journal of Marketing Research, 41</w:t>
      </w:r>
      <w:r w:rsidDel="00000000" w:rsidR="00000000" w:rsidRPr="00000000">
        <w:rPr>
          <w:sz w:val="24"/>
          <w:szCs w:val="24"/>
          <w:rtl w:val="0"/>
        </w:rPr>
        <w:t xml:space="preserve">(1), 31–45. </w:t>
      </w:r>
      <w:hyperlink r:id="rId26">
        <w:r w:rsidDel="00000000" w:rsidR="00000000" w:rsidRPr="00000000">
          <w:rPr>
            <w:color w:val="1155cc"/>
            <w:sz w:val="24"/>
            <w:szCs w:val="24"/>
            <w:u w:val="single"/>
            <w:rtl w:val="0"/>
          </w:rPr>
          <w:t xml:space="preserve">https://journals.sagepub.com/doi/10.1509/jmkr.41.1.31.25086</w:t>
        </w:r>
      </w:hyperlink>
      <w:r w:rsidDel="00000000" w:rsidR="00000000" w:rsidRPr="00000000">
        <w:rPr>
          <w:rtl w:val="0"/>
        </w:rPr>
      </w:r>
    </w:p>
    <w:p w:rsidR="00000000" w:rsidDel="00000000" w:rsidP="00000000" w:rsidRDefault="00000000" w:rsidRPr="00000000" w14:paraId="00000038">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Ascarza, E., Iyengar, R., &amp; Schleicher, M. (2016). The perils of proactive churn prevention using plan recommendations: Evidence from a field experiment. </w:t>
      </w:r>
      <w:r w:rsidDel="00000000" w:rsidR="00000000" w:rsidRPr="00000000">
        <w:rPr>
          <w:i w:val="1"/>
          <w:iCs w:val="1"/>
          <w:sz w:val="24"/>
          <w:szCs w:val="24"/>
          <w:rtl w:val="0"/>
        </w:rPr>
        <w:t xml:space="preserve">Journal of Marketing Research, 53</w:t>
      </w:r>
      <w:r w:rsidDel="00000000" w:rsidR="00000000" w:rsidRPr="00000000">
        <w:rPr>
          <w:sz w:val="24"/>
          <w:szCs w:val="24"/>
          <w:rtl w:val="0"/>
        </w:rPr>
        <w:t xml:space="preserve">(1), 46–60. </w:t>
      </w:r>
      <w:hyperlink r:id="rId27">
        <w:r w:rsidDel="00000000" w:rsidR="00000000" w:rsidRPr="00000000">
          <w:rPr>
            <w:color w:val="1155cc"/>
            <w:sz w:val="24"/>
            <w:szCs w:val="24"/>
            <w:u w:val="single"/>
            <w:rtl w:val="0"/>
          </w:rPr>
          <w:t xml:space="preserve">https://journals.sagepub.com/doi/10.1509/jmr.13.0483</w:t>
        </w:r>
      </w:hyperlink>
      <w:r w:rsidDel="00000000" w:rsidR="00000000" w:rsidRPr="00000000">
        <w:rPr>
          <w:rtl w:val="0"/>
        </w:rPr>
      </w:r>
    </w:p>
    <w:p w:rsidR="00000000" w:rsidDel="00000000" w:rsidP="00000000" w:rsidRDefault="00000000" w:rsidRPr="00000000" w14:paraId="00000039">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Ascarza, E. (2018). Retention futility: Targeting high-risk customers might be ineffective. </w:t>
      </w:r>
      <w:r w:rsidDel="00000000" w:rsidR="00000000" w:rsidRPr="00000000">
        <w:rPr>
          <w:i w:val="1"/>
          <w:iCs w:val="1"/>
          <w:sz w:val="24"/>
          <w:szCs w:val="24"/>
          <w:rtl w:val="0"/>
        </w:rPr>
        <w:t xml:space="preserve">Journal of Marketing Research, 55</w:t>
      </w:r>
      <w:r w:rsidDel="00000000" w:rsidR="00000000" w:rsidRPr="00000000">
        <w:rPr>
          <w:sz w:val="24"/>
          <w:szCs w:val="24"/>
          <w:rtl w:val="0"/>
        </w:rPr>
        <w:t xml:space="preserve">(1), 80–98. </w:t>
      </w:r>
      <w:hyperlink r:id="rId28">
        <w:r w:rsidDel="00000000" w:rsidR="00000000" w:rsidRPr="00000000">
          <w:rPr>
            <w:color w:val="1155cc"/>
            <w:sz w:val="24"/>
            <w:szCs w:val="24"/>
            <w:u w:val="single"/>
            <w:rtl w:val="0"/>
          </w:rPr>
          <w:t xml:space="preserve">https://journals.sagepub.com/doi/10.1509/jmr.16.0163</w:t>
        </w:r>
      </w:hyperlink>
      <w:r w:rsidDel="00000000" w:rsidR="00000000" w:rsidRPr="00000000">
        <w:rPr>
          <w:rtl w:val="0"/>
        </w:rPr>
      </w:r>
    </w:p>
    <w:p w:rsidR="00000000" w:rsidDel="00000000" w:rsidP="00000000" w:rsidRDefault="00000000" w:rsidRPr="00000000" w14:paraId="0000003A">
      <w:pPr>
        <w:numPr>
          <w:ilvl w:val="0"/>
          <w:numId w:val="1"/>
        </w:numPr>
        <w:spacing w:after="240" w:before="0" w:beforeAutospacing="0" w:lineRule="auto"/>
        <w:ind w:left="720" w:hanging="360"/>
        <w:rPr>
          <w:sz w:val="24"/>
          <w:szCs w:val="24"/>
          <w:u w:val="none"/>
        </w:rPr>
      </w:pPr>
      <w:r w:rsidDel="00000000" w:rsidR="00000000" w:rsidRPr="00000000">
        <w:rPr>
          <w:sz w:val="24"/>
          <w:szCs w:val="24"/>
          <w:rtl w:val="0"/>
        </w:rPr>
        <w:t xml:space="preserve">Bolton, R. N., &amp; Lemon, K. N. (1999). A dynamic model of customers' usage of services: Usage as an antecedent and consequence of satisfaction. </w:t>
      </w:r>
      <w:r w:rsidDel="00000000" w:rsidR="00000000" w:rsidRPr="00000000">
        <w:rPr>
          <w:i w:val="1"/>
          <w:iCs w:val="1"/>
          <w:sz w:val="24"/>
          <w:szCs w:val="24"/>
          <w:rtl w:val="0"/>
        </w:rPr>
        <w:t xml:space="preserve">Journal of Marketing Research, 36</w:t>
      </w:r>
      <w:r w:rsidDel="00000000" w:rsidR="00000000" w:rsidRPr="00000000">
        <w:rPr>
          <w:sz w:val="24"/>
          <w:szCs w:val="24"/>
          <w:rtl w:val="0"/>
        </w:rPr>
        <w:t xml:space="preserve">(2), 171–186. </w:t>
      </w:r>
      <w:hyperlink r:id="rId29">
        <w:r w:rsidDel="00000000" w:rsidR="00000000" w:rsidRPr="00000000">
          <w:rPr>
            <w:color w:val="1155cc"/>
            <w:sz w:val="24"/>
            <w:szCs w:val="24"/>
            <w:u w:val="single"/>
            <w:rtl w:val="0"/>
          </w:rPr>
          <w:t xml:space="preserve">http://journals.sagepub.com/doi/10.1177/002224379903600203</w:t>
        </w:r>
      </w:hyperlink>
      <w:r w:rsidDel="00000000" w:rsidR="00000000" w:rsidRPr="00000000">
        <w:rPr>
          <w:rtl w:val="0"/>
        </w:rPr>
      </w:r>
    </w:p>
    <w:p w:rsidR="00000000" w:rsidDel="00000000" w:rsidP="00000000" w:rsidRDefault="00000000" w:rsidRPr="00000000" w14:paraId="0000003B">
      <w:pPr>
        <w:spacing w:after="240" w:before="240" w:lineRule="auto"/>
        <w:ind w:left="0" w:firstLine="0"/>
        <w:rPr>
          <w:color w:val="1155cc"/>
          <w:sz w:val="24"/>
          <w:szCs w:val="24"/>
          <w:u w:val="singl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sz w:val="24"/>
          <w:szCs w:val="24"/>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yperlink" Target="https://journals.sagepub.com/doi/10.3102/00346543211060871" TargetMode="External"/><Relationship Id="rId22" Type="http://schemas.openxmlformats.org/officeDocument/2006/relationships/hyperlink" Target="https://ajet.org.au/index.php/AJET/article/view/6116" TargetMode="External"/><Relationship Id="rId21" Type="http://schemas.openxmlformats.org/officeDocument/2006/relationships/hyperlink" Target="https://www.frontiersin.org/journals/education/articles/10.3389/feduc.2023.1302701/full" TargetMode="External"/><Relationship Id="rId24" Type="http://schemas.openxmlformats.org/officeDocument/2006/relationships/hyperlink" Target="https://dl.acm.org/doi/10.1145/2843948" TargetMode="External"/><Relationship Id="rId23" Type="http://schemas.openxmlformats.org/officeDocument/2006/relationships/hyperlink" Target="https://arxiv.org/abs/2511.0728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ournals.sagepub.com/doi/10.1177/2158244016669550" TargetMode="External"/><Relationship Id="rId26" Type="http://schemas.openxmlformats.org/officeDocument/2006/relationships/hyperlink" Target="https://journals.sagepub.com/doi/10.1509/jmkr.41.1.31.25086" TargetMode="External"/><Relationship Id="rId25" Type="http://schemas.openxmlformats.org/officeDocument/2006/relationships/hyperlink" Target="https://journals.sagepub.com/doi/10.1177/1094670510375460" TargetMode="External"/><Relationship Id="rId28" Type="http://schemas.openxmlformats.org/officeDocument/2006/relationships/hyperlink" Target="https://journals.sagepub.com/doi/10.1509/jmr.16.0163" TargetMode="External"/><Relationship Id="rId27" Type="http://schemas.openxmlformats.org/officeDocument/2006/relationships/hyperlink" Target="https://journals.sagepub.com/doi/10.1509/jmr.13.0483" TargetMode="External"/><Relationship Id="rId5" Type="http://schemas.openxmlformats.org/officeDocument/2006/relationships/styles" Target="styles.xml"/><Relationship Id="rId6" Type="http://schemas.openxmlformats.org/officeDocument/2006/relationships/hyperlink" Target="https://www.emerald.com/jd/article-abstract/61/6/700/204933/Reading-behavior-in-the-digital-environmentChanges?redirectedFrom=fulltext" TargetMode="External"/><Relationship Id="rId29" Type="http://schemas.openxmlformats.org/officeDocument/2006/relationships/hyperlink" Target="http://journals.sagepub.com/doi/10.1177/002224379903600203" TargetMode="External"/><Relationship Id="rId7" Type="http://schemas.openxmlformats.org/officeDocument/2006/relationships/hyperlink" Target="https://www.sciencedirect.com/science/article/abs/pii/S0883035512001127?via%3Dihub" TargetMode="External"/><Relationship Id="rId8" Type="http://schemas.openxmlformats.org/officeDocument/2006/relationships/hyperlink" Target="https://www.sciencedirect.com/science/article/pii/S1747938X18300101?via%3Dihub" TargetMode="External"/><Relationship Id="rId11" Type="http://schemas.openxmlformats.org/officeDocument/2006/relationships/hyperlink" Target="https://www.ovid.com/jnls/jrnldbp/abstract/10.1097/dbp.0000000000000335~tablet-based-ebooks-for-young-children-what-does-the?redirectionsource=fulltextview" TargetMode="External"/><Relationship Id="rId10" Type="http://schemas.openxmlformats.org/officeDocument/2006/relationships/hyperlink" Target="https://www.emerald.com/oir/article-abstract/35/4/558/447311/User-attitudes-toward-dedicated-e-book-readers-for?redirectedFrom=fulltext" TargetMode="External"/><Relationship Id="rId13" Type="http://schemas.openxmlformats.org/officeDocument/2006/relationships/hyperlink" Target="https://www.sciencedirect.com/science/article/abs/pii/S0957417406002806?via%3Dihub" TargetMode="External"/><Relationship Id="rId12" Type="http://schemas.openxmlformats.org/officeDocument/2006/relationships/hyperlink" Target="https://pubsonline.informs.org/doi/10.1287/isre.2020.0948" TargetMode="External"/><Relationship Id="rId15" Type="http://schemas.openxmlformats.org/officeDocument/2006/relationships/hyperlink" Target="https://iacis.org/iis/2006/Manomuth_Vinsonhaler_Scheffelmaier.pdf" TargetMode="External"/><Relationship Id="rId14" Type="http://schemas.openxmlformats.org/officeDocument/2006/relationships/hyperlink" Target="https://repositorio.ucp.pt/entities/publication/2fc4c695-18cc-4c1b-88d9-e14132d4d08b" TargetMode="External"/><Relationship Id="rId17" Type="http://schemas.openxmlformats.org/officeDocument/2006/relationships/hyperlink" Target="https://link.springer.com/article/10.1177/0092070301291002" TargetMode="External"/><Relationship Id="rId16" Type="http://schemas.openxmlformats.org/officeDocument/2006/relationships/hyperlink" Target="https://www.sciencedirect.com/science/article/abs/pii/S0167923614000402?via%3Dihub" TargetMode="External"/><Relationship Id="rId19" Type="http://schemas.openxmlformats.org/officeDocument/2006/relationships/hyperlink" Target="https://ital.corejournals.org/index.php/ital/article/view/1769" TargetMode="External"/><Relationship Id="rId18" Type="http://schemas.openxmlformats.org/officeDocument/2006/relationships/hyperlink" Target="https://infonomics-society.org/wp-content/uploads/Perceptions-and-E-book-Use-Behavior-of-University-Student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