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80" w:before="480"/>
        <w:jc w:val="center"/>
      </w:pPr>
      <w:r>
        <w:rPr>
          <w:rFonts w:ascii="Arial" w:cs="Arial" w:eastAsia="Arial" w:hAnsi="Arial"/>
          <w:b/>
          <w:bCs/>
          <w:caps/>
          <w:color w:val="FFFFFF"/>
          <w:sz w:val="48"/>
          <w:szCs w:val="48"/>
        </w:rPr>
        <w:t xml:space="preserve">PROJECT PROPOSAL</w:t>
      </w:r>
    </w:p>
    <w:p>
      <w:pPr>
        <w:shd w:fill="1F4E79" w:val="clear"/>
        <w:spacing w:after="80" w:before="0"/>
        <w:jc w:val="center"/>
      </w:pPr>
      <w:r>
        <w:rPr>
          <w:rFonts w:ascii="Arial" w:cs="Arial" w:eastAsia="Arial" w:hAnsi="Arial"/>
          <w:color w:val="D6E4F0"/>
          <w:sz w:val="32"/>
          <w:szCs w:val="32"/>
        </w:rPr>
        <w:t xml:space="preserve">eBook Subscriber Insights using</w:t>
      </w:r>
    </w:p>
    <w:p>
      <w:pPr>
        <w:shd w:fill="1F4E79" w:val="clear"/>
        <w:spacing w:after="480" w:before="0"/>
        <w:jc w:val="center"/>
      </w:pPr>
      <w:r>
        <w:rPr>
          <w:rFonts w:ascii="Arial" w:cs="Arial" w:eastAsia="Arial" w:hAnsi="Arial"/>
          <w:b/>
          <w:bCs/>
          <w:color w:val="FFFFFF"/>
          <w:sz w:val="32"/>
          <w:szCs w:val="32"/>
        </w:rPr>
        <w:t xml:space="preserve">Exploratory Data Analysis (EDA)</w:t>
      </w:r>
    </w:p>
    <w:p>
      <w:pPr>
        <w:spacing w:after="80" w:before="0"/>
      </w:pPr>
      <w:r>
        <w:rPr>
          <w:sz w:val="22"/>
          <w:szCs w:val="22"/>
        </w:rPr>
        <w:t xml:space="preserve"/>
      </w:r>
    </w:p>
    <w:p>
      <w:pPr>
        <w:pStyle w:val="Heading1"/>
        <w:pBdr>
          <w:bottom w:val="single" w:color="2E75B6" w:sz="4" w:space="4"/>
        </w:pBdr>
        <w:shd w:fill="1F4E79" w:val="clear"/>
        <w:spacing w:after="120" w:before="360"/>
      </w:pPr>
      <w:r>
        <w:rPr>
          <w:rFonts w:ascii="Arial" w:cs="Arial" w:eastAsia="Arial" w:hAnsi="Arial"/>
          <w:b/>
          <w:bCs/>
          <w:color w:val="FFFFFF"/>
          <w:sz w:val="28"/>
          <w:szCs w:val="28"/>
        </w:rPr>
        <w:t xml:space="preserve">1.  Introduction</w:t>
      </w:r>
    </w:p>
    <w:p>
      <w:pPr>
        <w:pStyle w:val="Heading2"/>
        <w:spacing w:after="80" w:before="240"/>
      </w:pPr>
      <w:r>
        <w:rPr>
          <w:rFonts w:ascii="Arial" w:cs="Arial" w:eastAsia="Arial" w:hAnsi="Arial"/>
          <w:b/>
          <w:bCs/>
          <w:color w:val="2E75B6"/>
          <w:sz w:val="24"/>
          <w:szCs w:val="24"/>
        </w:rPr>
        <w:t xml:space="preserve">Overview of Digital Subscription Platforms</w:t>
      </w:r>
    </w:p>
    <w:p>
      <w:pPr>
        <w:spacing w:after="100" w:before="60"/>
      </w:pPr>
      <w:r>
        <w:rPr>
          <w:rFonts w:ascii="Arial" w:cs="Arial" w:eastAsia="Arial" w:hAnsi="Arial"/>
          <w:color w:val="1A1A1A"/>
          <w:sz w:val="22"/>
          <w:szCs w:val="22"/>
        </w:rPr>
        <w:t xml:space="preserve">Digital subscription platforms have transformed content consumption by providing users with on-demand access to a wide range of digital resources such as eBooks, audiobooks, and journals. These platforms operate on recurring revenue models, where sustained user engagement is critical for profitability and growth. With increasing competition in the digital content industry, understanding subscriber behavior has become essential for maintaining a competitive edge.</w:t>
      </w:r>
    </w:p>
    <w:p>
      <w:pPr>
        <w:pStyle w:val="Heading2"/>
        <w:spacing w:after="80" w:before="240"/>
      </w:pPr>
      <w:r>
        <w:rPr>
          <w:rFonts w:ascii="Arial" w:cs="Arial" w:eastAsia="Arial" w:hAnsi="Arial"/>
          <w:b/>
          <w:bCs/>
          <w:color w:val="2E75B6"/>
          <w:sz w:val="24"/>
          <w:szCs w:val="24"/>
        </w:rPr>
        <w:t xml:space="preserve">Importance of User Engagement and Retention</w:t>
      </w:r>
    </w:p>
    <w:p>
      <w:pPr>
        <w:spacing w:after="100" w:before="60"/>
      </w:pPr>
      <w:r>
        <w:rPr>
          <w:rFonts w:ascii="Arial" w:cs="Arial" w:eastAsia="Arial" w:hAnsi="Arial"/>
          <w:color w:val="1A1A1A"/>
          <w:sz w:val="22"/>
          <w:szCs w:val="22"/>
        </w:rPr>
        <w:t xml:space="preserve">User engagement directly impacts subscription renewal rates and customer lifetime value. High engagement indicates user satisfaction, while declining interaction often signals potential churn. Retaining existing subscribers is more cost-effective than acquiring new ones, making it crucial for platforms to monitor user activity, identify disengagement patterns, and implement targeted retention strategies.</w:t>
      </w:r>
    </w:p>
    <w:p>
      <w:pPr>
        <w:spacing w:after="80" w:before="0"/>
      </w:pPr>
      <w:r>
        <w:rPr>
          <w:sz w:val="22"/>
          <w:szCs w:val="22"/>
        </w:rPr>
        <w:t xml:space="preserve"/>
      </w:r>
    </w:p>
    <w:p>
      <w:pPr>
        <w:pStyle w:val="Heading1"/>
        <w:pBdr>
          <w:bottom w:val="single" w:color="2E75B6" w:sz="4" w:space="4"/>
        </w:pBdr>
        <w:shd w:fill="1F4E79" w:val="clear"/>
        <w:spacing w:after="120" w:before="360"/>
      </w:pPr>
      <w:r>
        <w:rPr>
          <w:rFonts w:ascii="Arial" w:cs="Arial" w:eastAsia="Arial" w:hAnsi="Arial"/>
          <w:b/>
          <w:bCs/>
          <w:color w:val="FFFFFF"/>
          <w:sz w:val="28"/>
          <w:szCs w:val="28"/>
        </w:rPr>
        <w:t xml:space="preserve">2.  Problem Statement</w:t>
      </w:r>
    </w:p>
    <w:p>
      <w:pPr>
        <w:spacing w:after="100" w:before="60"/>
      </w:pPr>
      <w:r>
        <w:rPr>
          <w:rFonts w:ascii="Arial" w:cs="Arial" w:eastAsia="Arial" w:hAnsi="Arial"/>
          <w:color w:val="1A1A1A"/>
          <w:sz w:val="22"/>
          <w:szCs w:val="22"/>
        </w:rPr>
        <w:t xml:space="preserve">Digital eBook platforms face a significant challenge in identifying why certain users remain active while others become inactive or churn. Subscriber churn leads to revenue loss and increased marketing costs. Additionally, low engagement reduces the perceived value of the platform.</w:t>
      </w:r>
    </w:p>
    <w:p>
      <w:pPr>
        <w:spacing w:after="100" w:before="60"/>
      </w:pPr>
      <w:r>
        <w:rPr>
          <w:rFonts w:ascii="Arial" w:cs="Arial" w:eastAsia="Arial" w:hAnsi="Arial"/>
          <w:color w:val="1A1A1A"/>
          <w:sz w:val="22"/>
          <w:szCs w:val="22"/>
        </w:rPr>
        <w:t xml:space="preserve">The primary problem is the lack of structured, data-driven insights into user behavior. Without proper analysis, platforms cannot effectively distinguish between high-engagement and low-engagement users or predict churn patterns. Therefore, there is a need to leverage data analytics techniques, particularly Exploratory Data Analysis (EDA), to uncover meaningful patterns and trends in subscriber activity.</w:t>
      </w:r>
    </w:p>
    <w:p>
      <w:pPr>
        <w:spacing w:after="80" w:before="0"/>
      </w:pPr>
      <w:r>
        <w:rPr>
          <w:sz w:val="22"/>
          <w:szCs w:val="22"/>
        </w:rPr>
        <w:t xml:space="preserve"/>
      </w:r>
    </w:p>
    <w:p>
      <w:pPr>
        <w:pStyle w:val="Heading1"/>
        <w:pBdr>
          <w:bottom w:val="single" w:color="2E75B6" w:sz="4" w:space="4"/>
        </w:pBdr>
        <w:shd w:fill="1F4E79" w:val="clear"/>
        <w:spacing w:after="120" w:before="360"/>
      </w:pPr>
      <w:r>
        <w:rPr>
          <w:rFonts w:ascii="Arial" w:cs="Arial" w:eastAsia="Arial" w:hAnsi="Arial"/>
          <w:b/>
          <w:bCs/>
          <w:color w:val="FFFFFF"/>
          <w:sz w:val="28"/>
          <w:szCs w:val="28"/>
        </w:rPr>
        <w:t xml:space="preserve">3.  Objectives</w:t>
      </w:r>
    </w:p>
    <w:p>
      <w:pPr>
        <w:spacing w:after="100" w:before="60"/>
      </w:pPr>
      <w:r>
        <w:rPr>
          <w:rFonts w:ascii="Arial" w:cs="Arial" w:eastAsia="Arial" w:hAnsi="Arial"/>
          <w:color w:val="1A1A1A"/>
          <w:sz w:val="22"/>
          <w:szCs w:val="22"/>
        </w:rPr>
        <w:t xml:space="preserve">The main objectives of this project are:</w:t>
      </w:r>
    </w:p>
    <w:p>
      <w:pPr>
        <w:pStyle w:val="ListParagraph"/>
        <w:numPr>
          <w:ilvl w:val="0"/>
          <w:numId w:val="2"/>
        </w:numPr>
        <w:spacing w:after="40" w:before="40"/>
      </w:pPr>
      <w:r>
        <w:rPr>
          <w:rFonts w:ascii="Arial" w:cs="Arial" w:eastAsia="Arial" w:hAnsi="Arial"/>
          <w:color w:val="1A1A1A"/>
          <w:sz w:val="22"/>
          <w:szCs w:val="22"/>
        </w:rPr>
        <w:t xml:space="preserve">To analyze subscriber data and identify key behavioral and demographic patterns influencing engagement.</w:t>
      </w:r>
    </w:p>
    <w:p>
      <w:pPr>
        <w:pStyle w:val="ListParagraph"/>
        <w:numPr>
          <w:ilvl w:val="0"/>
          <w:numId w:val="2"/>
        </w:numPr>
        <w:spacing w:after="40" w:before="40"/>
      </w:pPr>
      <w:r>
        <w:rPr>
          <w:rFonts w:ascii="Arial" w:cs="Arial" w:eastAsia="Arial" w:hAnsi="Arial"/>
          <w:color w:val="1A1A1A"/>
          <w:sz w:val="22"/>
          <w:szCs w:val="22"/>
        </w:rPr>
        <w:t xml:space="preserve">To segment users into three categories:</w:t>
      </w:r>
    </w:p>
    <w:p>
      <w:pPr>
        <w:pStyle w:val="ListParagraph"/>
        <w:numPr>
          <w:ilvl w:val="0"/>
          <w:numId w:val="3"/>
        </w:numPr>
        <w:spacing w:after="30" w:before="30"/>
      </w:pPr>
      <w:r>
        <w:rPr>
          <w:rFonts w:ascii="Arial" w:cs="Arial" w:eastAsia="Arial" w:hAnsi="Arial"/>
          <w:color w:val="555555"/>
          <w:sz w:val="22"/>
          <w:szCs w:val="22"/>
        </w:rPr>
        <w:t xml:space="preserve">Active Users – Regularly engaged subscribers</w:t>
      </w:r>
    </w:p>
    <w:p>
      <w:pPr>
        <w:pStyle w:val="ListParagraph"/>
        <w:numPr>
          <w:ilvl w:val="0"/>
          <w:numId w:val="3"/>
        </w:numPr>
        <w:spacing w:after="30" w:before="30"/>
      </w:pPr>
      <w:r>
        <w:rPr>
          <w:rFonts w:ascii="Arial" w:cs="Arial" w:eastAsia="Arial" w:hAnsi="Arial"/>
          <w:color w:val="555555"/>
          <w:sz w:val="22"/>
          <w:szCs w:val="22"/>
        </w:rPr>
        <w:t xml:space="preserve">Inactive Users – Subscribers with reduced activity</w:t>
      </w:r>
    </w:p>
    <w:p>
      <w:pPr>
        <w:pStyle w:val="ListParagraph"/>
        <w:numPr>
          <w:ilvl w:val="0"/>
          <w:numId w:val="3"/>
        </w:numPr>
        <w:spacing w:after="30" w:before="30"/>
      </w:pPr>
      <w:r>
        <w:rPr>
          <w:rFonts w:ascii="Arial" w:cs="Arial" w:eastAsia="Arial" w:hAnsi="Arial"/>
          <w:color w:val="555555"/>
          <w:sz w:val="22"/>
          <w:szCs w:val="22"/>
        </w:rPr>
        <w:t xml:space="preserve">Churned Users – Subscribers who have discontinued usage</w:t>
      </w:r>
    </w:p>
    <w:p>
      <w:pPr>
        <w:pStyle w:val="ListParagraph"/>
        <w:numPr>
          <w:ilvl w:val="0"/>
          <w:numId w:val="2"/>
        </w:numPr>
        <w:spacing w:after="40" w:before="40"/>
      </w:pPr>
      <w:r>
        <w:rPr>
          <w:rFonts w:ascii="Arial" w:cs="Arial" w:eastAsia="Arial" w:hAnsi="Arial"/>
          <w:color w:val="1A1A1A"/>
          <w:sz w:val="22"/>
          <w:szCs w:val="22"/>
        </w:rPr>
        <w:t xml:space="preserve">To develop a robust engagement scoring model using a weighted formula based on user activity metrics.</w:t>
      </w:r>
    </w:p>
    <w:p>
      <w:pPr>
        <w:pStyle w:val="ListParagraph"/>
        <w:numPr>
          <w:ilvl w:val="0"/>
          <w:numId w:val="2"/>
        </w:numPr>
        <w:spacing w:after="40" w:before="40"/>
      </w:pPr>
      <w:r>
        <w:rPr>
          <w:rFonts w:ascii="Arial" w:cs="Arial" w:eastAsia="Arial" w:hAnsi="Arial"/>
          <w:color w:val="1A1A1A"/>
          <w:sz w:val="22"/>
          <w:szCs w:val="22"/>
        </w:rPr>
        <w:t xml:space="preserve">To generate actionable insights that can support retention and re-engagement strategies.</w:t>
      </w:r>
    </w:p>
    <w:p>
      <w:pPr>
        <w:spacing w:after="80" w:before="0"/>
      </w:pPr>
      <w:r>
        <w:rPr>
          <w:sz w:val="22"/>
          <w:szCs w:val="22"/>
        </w:rPr>
        <w:t xml:space="preserve"/>
      </w:r>
    </w:p>
    <w:p>
      <w:pPr>
        <w:pStyle w:val="Heading1"/>
        <w:pBdr>
          <w:bottom w:val="single" w:color="2E75B6" w:sz="4" w:space="4"/>
        </w:pBdr>
        <w:shd w:fill="1F4E79" w:val="clear"/>
        <w:spacing w:after="120" w:before="360"/>
      </w:pPr>
      <w:r>
        <w:rPr>
          <w:rFonts w:ascii="Arial" w:cs="Arial" w:eastAsia="Arial" w:hAnsi="Arial"/>
          <w:b/>
          <w:bCs/>
          <w:color w:val="FFFFFF"/>
          <w:sz w:val="28"/>
          <w:szCs w:val="28"/>
        </w:rPr>
        <w:t xml:space="preserve">4.  Methodology</w:t>
      </w:r>
    </w:p>
    <w:p>
      <w:pPr>
        <w:pStyle w:val="Heading2"/>
        <w:spacing w:after="80" w:before="240"/>
      </w:pPr>
      <w:r>
        <w:rPr>
          <w:rFonts w:ascii="Arial" w:cs="Arial" w:eastAsia="Arial" w:hAnsi="Arial"/>
          <w:b/>
          <w:bCs/>
          <w:color w:val="2E75B6"/>
          <w:sz w:val="24"/>
          <w:szCs w:val="24"/>
        </w:rPr>
        <w:t xml:space="preserve">Exploratory Data Analysis (EDA)</w:t>
      </w:r>
    </w:p>
    <w:p>
      <w:pPr>
        <w:spacing w:after="100" w:before="60"/>
      </w:pPr>
      <w:r>
        <w:rPr>
          <w:rFonts w:ascii="Arial" w:cs="Arial" w:eastAsia="Arial" w:hAnsi="Arial"/>
          <w:color w:val="1A1A1A"/>
          <w:sz w:val="22"/>
          <w:szCs w:val="22"/>
        </w:rPr>
        <w:t xml:space="preserve">The project will employ EDA techniques to understand data distribution, detect patterns, and identify anomalies. This includes both univariate and multivariate analysis.</w:t>
      </w:r>
    </w:p>
    <w:p>
      <w:pPr>
        <w:pStyle w:val="Heading2"/>
        <w:spacing w:after="80" w:before="240"/>
      </w:pPr>
      <w:r>
        <w:rPr>
          <w:rFonts w:ascii="Arial" w:cs="Arial" w:eastAsia="Arial" w:hAnsi="Arial"/>
          <w:b/>
          <w:bCs/>
          <w:color w:val="2E75B6"/>
          <w:sz w:val="24"/>
          <w:szCs w:val="24"/>
        </w:rPr>
        <w:t xml:space="preserve">Data Collection and Preprocessing</w:t>
      </w:r>
    </w:p>
    <w:p>
      <w:pPr>
        <w:pStyle w:val="ListParagraph"/>
        <w:numPr>
          <w:ilvl w:val="0"/>
          <w:numId w:val="2"/>
        </w:numPr>
        <w:spacing w:after="40" w:before="40"/>
      </w:pPr>
      <w:r>
        <w:rPr>
          <w:rFonts w:ascii="Arial" w:cs="Arial" w:eastAsia="Arial" w:hAnsi="Arial"/>
          <w:color w:val="1A1A1A"/>
          <w:sz w:val="22"/>
          <w:szCs w:val="22"/>
        </w:rPr>
        <w:t xml:space="preserve">Collection of subscriber data such as login frequency, reading duration, genres accessed, subscription tenure, and demographic attributes.</w:t>
      </w:r>
    </w:p>
    <w:p>
      <w:pPr>
        <w:pStyle w:val="ListParagraph"/>
        <w:numPr>
          <w:ilvl w:val="0"/>
          <w:numId w:val="2"/>
        </w:numPr>
        <w:spacing w:after="40" w:before="40"/>
      </w:pPr>
      <w:r>
        <w:rPr>
          <w:rFonts w:ascii="Arial" w:cs="Arial" w:eastAsia="Arial" w:hAnsi="Arial"/>
          <w:color w:val="1A1A1A"/>
          <w:sz w:val="22"/>
          <w:szCs w:val="22"/>
        </w:rPr>
        <w:t xml:space="preserve">Data cleaning to handle missing values, duplicates, and inconsistencies.</w:t>
      </w:r>
    </w:p>
    <w:p>
      <w:pPr>
        <w:pStyle w:val="ListParagraph"/>
        <w:numPr>
          <w:ilvl w:val="0"/>
          <w:numId w:val="2"/>
        </w:numPr>
        <w:spacing w:after="40" w:before="40"/>
      </w:pPr>
      <w:r>
        <w:rPr>
          <w:rFonts w:ascii="Arial" w:cs="Arial" w:eastAsia="Arial" w:hAnsi="Arial"/>
          <w:color w:val="1A1A1A"/>
          <w:sz w:val="22"/>
          <w:szCs w:val="22"/>
        </w:rPr>
        <w:t xml:space="preserve">Data transformation and normalization for improved analysis quality.</w:t>
      </w:r>
    </w:p>
    <w:p>
      <w:pPr>
        <w:pStyle w:val="Heading2"/>
        <w:spacing w:after="80" w:before="240"/>
      </w:pPr>
      <w:r>
        <w:rPr>
          <w:rFonts w:ascii="Arial" w:cs="Arial" w:eastAsia="Arial" w:hAnsi="Arial"/>
          <w:b/>
          <w:bCs/>
          <w:color w:val="2E75B6"/>
          <w:sz w:val="24"/>
          <w:szCs w:val="24"/>
        </w:rPr>
        <w:t xml:space="preserve">Data Analysis Techniques</w:t>
      </w:r>
    </w:p>
    <w:p>
      <w:pPr>
        <w:pStyle w:val="ListParagraph"/>
        <w:numPr>
          <w:ilvl w:val="0"/>
          <w:numId w:val="2"/>
        </w:numPr>
        <w:spacing w:after="40" w:before="40"/>
      </w:pPr>
      <w:r>
        <w:rPr>
          <w:rFonts w:ascii="Arial" w:cs="Arial" w:eastAsia="Arial" w:hAnsi="Arial"/>
          <w:color w:val="1A1A1A"/>
          <w:sz w:val="22"/>
          <w:szCs w:val="22"/>
        </w:rPr>
        <w:t xml:space="preserve">Frequency Tables: To analyze user activity levels and subscription patterns.</w:t>
      </w:r>
    </w:p>
    <w:p>
      <w:pPr>
        <w:pStyle w:val="ListParagraph"/>
        <w:numPr>
          <w:ilvl w:val="0"/>
          <w:numId w:val="2"/>
        </w:numPr>
        <w:spacing w:after="40" w:before="40"/>
      </w:pPr>
      <w:r>
        <w:rPr>
          <w:rFonts w:ascii="Arial" w:cs="Arial" w:eastAsia="Arial" w:hAnsi="Arial"/>
          <w:color w:val="1A1A1A"/>
          <w:sz w:val="22"/>
          <w:szCs w:val="22"/>
        </w:rPr>
        <w:t xml:space="preserve">Pivot Tables: To summarize data across multiple dimensions such as age, genre preference, and activity level.</w:t>
      </w:r>
    </w:p>
    <w:p>
      <w:pPr>
        <w:pStyle w:val="ListParagraph"/>
        <w:numPr>
          <w:ilvl w:val="0"/>
          <w:numId w:val="2"/>
        </w:numPr>
        <w:spacing w:after="40" w:before="40"/>
      </w:pPr>
      <w:r>
        <w:rPr>
          <w:rFonts w:ascii="Arial" w:cs="Arial" w:eastAsia="Arial" w:hAnsi="Arial"/>
          <w:color w:val="1A1A1A"/>
          <w:sz w:val="22"/>
          <w:szCs w:val="22"/>
        </w:rPr>
        <w:t xml:space="preserve">Visualizations:</w:t>
      </w:r>
    </w:p>
    <w:p>
      <w:pPr>
        <w:pStyle w:val="ListParagraph"/>
        <w:numPr>
          <w:ilvl w:val="0"/>
          <w:numId w:val="3"/>
        </w:numPr>
        <w:spacing w:after="30" w:before="30"/>
      </w:pPr>
      <w:r>
        <w:rPr>
          <w:rFonts w:ascii="Arial" w:cs="Arial" w:eastAsia="Arial" w:hAnsi="Arial"/>
          <w:color w:val="555555"/>
          <w:sz w:val="22"/>
          <w:szCs w:val="22"/>
        </w:rPr>
        <w:t xml:space="preserve">Bar charts for genre preferences</w:t>
      </w:r>
    </w:p>
    <w:p>
      <w:pPr>
        <w:pStyle w:val="ListParagraph"/>
        <w:numPr>
          <w:ilvl w:val="0"/>
          <w:numId w:val="3"/>
        </w:numPr>
        <w:spacing w:after="30" w:before="30"/>
      </w:pPr>
      <w:r>
        <w:rPr>
          <w:rFonts w:ascii="Arial" w:cs="Arial" w:eastAsia="Arial" w:hAnsi="Arial"/>
          <w:color w:val="555555"/>
          <w:sz w:val="22"/>
          <w:szCs w:val="22"/>
        </w:rPr>
        <w:t xml:space="preserve">Pie charts for user segmentation</w:t>
      </w:r>
    </w:p>
    <w:p>
      <w:pPr>
        <w:pStyle w:val="ListParagraph"/>
        <w:numPr>
          <w:ilvl w:val="0"/>
          <w:numId w:val="3"/>
        </w:numPr>
        <w:spacing w:after="30" w:before="30"/>
      </w:pPr>
      <w:r>
        <w:rPr>
          <w:rFonts w:ascii="Arial" w:cs="Arial" w:eastAsia="Arial" w:hAnsi="Arial"/>
          <w:color w:val="555555"/>
          <w:sz w:val="22"/>
          <w:szCs w:val="22"/>
        </w:rPr>
        <w:t xml:space="preserve">Histograms for reading frequency distribution</w:t>
      </w:r>
    </w:p>
    <w:p>
      <w:pPr>
        <w:pStyle w:val="ListParagraph"/>
        <w:numPr>
          <w:ilvl w:val="0"/>
          <w:numId w:val="3"/>
        </w:numPr>
        <w:spacing w:after="30" w:before="30"/>
      </w:pPr>
      <w:r>
        <w:rPr>
          <w:rFonts w:ascii="Arial" w:cs="Arial" w:eastAsia="Arial" w:hAnsi="Arial"/>
          <w:color w:val="555555"/>
          <w:sz w:val="22"/>
          <w:szCs w:val="22"/>
        </w:rPr>
        <w:t xml:space="preserve">Heatmaps for correlation analysis</w:t>
      </w:r>
    </w:p>
    <w:p>
      <w:pPr>
        <w:pStyle w:val="Heading2"/>
        <w:spacing w:after="80" w:before="240"/>
      </w:pPr>
      <w:r>
        <w:rPr>
          <w:rFonts w:ascii="Arial" w:cs="Arial" w:eastAsia="Arial" w:hAnsi="Arial"/>
          <w:b/>
          <w:bCs/>
          <w:color w:val="2E75B6"/>
          <w:sz w:val="24"/>
          <w:szCs w:val="24"/>
        </w:rPr>
        <w:t xml:space="preserve">Engagement Scoring Model</w:t>
      </w:r>
    </w:p>
    <w:p>
      <w:pPr>
        <w:spacing w:after="100" w:before="60"/>
      </w:pPr>
      <w:r>
        <w:rPr>
          <w:rFonts w:ascii="Arial" w:cs="Arial" w:eastAsia="Arial" w:hAnsi="Arial"/>
          <w:color w:val="1A1A1A"/>
          <w:sz w:val="22"/>
          <w:szCs w:val="22"/>
        </w:rPr>
        <w:t xml:space="preserve">A weighted scoring system will be developed based on key engagement indicators. Each factor will be assigned a weight, and a composite engagement score will be calculated to classify users into Active, Inactive, or Churned categories. The key indicators include:</w:t>
      </w:r>
    </w:p>
    <w:p>
      <w:pPr>
        <w:pStyle w:val="ListParagraph"/>
        <w:numPr>
          <w:ilvl w:val="0"/>
          <w:numId w:val="2"/>
        </w:numPr>
        <w:spacing w:after="40" w:before="40"/>
      </w:pPr>
      <w:r>
        <w:rPr>
          <w:rFonts w:ascii="Arial" w:cs="Arial" w:eastAsia="Arial" w:hAnsi="Arial"/>
          <w:color w:val="1A1A1A"/>
          <w:sz w:val="22"/>
          <w:szCs w:val="22"/>
        </w:rPr>
        <w:t xml:space="preserve">Number of logins</w:t>
      </w:r>
    </w:p>
    <w:p>
      <w:pPr>
        <w:pStyle w:val="ListParagraph"/>
        <w:numPr>
          <w:ilvl w:val="0"/>
          <w:numId w:val="2"/>
        </w:numPr>
        <w:spacing w:after="40" w:before="40"/>
      </w:pPr>
      <w:r>
        <w:rPr>
          <w:rFonts w:ascii="Arial" w:cs="Arial" w:eastAsia="Arial" w:hAnsi="Arial"/>
          <w:color w:val="1A1A1A"/>
          <w:sz w:val="22"/>
          <w:szCs w:val="22"/>
        </w:rPr>
        <w:t xml:space="preserve">Time spent reading</w:t>
      </w:r>
    </w:p>
    <w:p>
      <w:pPr>
        <w:pStyle w:val="ListParagraph"/>
        <w:numPr>
          <w:ilvl w:val="0"/>
          <w:numId w:val="2"/>
        </w:numPr>
        <w:spacing w:after="40" w:before="40"/>
      </w:pPr>
      <w:r>
        <w:rPr>
          <w:rFonts w:ascii="Arial" w:cs="Arial" w:eastAsia="Arial" w:hAnsi="Arial"/>
          <w:color w:val="1A1A1A"/>
          <w:sz w:val="22"/>
          <w:szCs w:val="22"/>
        </w:rPr>
        <w:t xml:space="preserve">Number of books accessed</w:t>
      </w:r>
    </w:p>
    <w:p>
      <w:pPr>
        <w:pStyle w:val="ListParagraph"/>
        <w:numPr>
          <w:ilvl w:val="0"/>
          <w:numId w:val="2"/>
        </w:numPr>
        <w:spacing w:after="40" w:before="40"/>
      </w:pPr>
      <w:r>
        <w:rPr>
          <w:rFonts w:ascii="Arial" w:cs="Arial" w:eastAsia="Arial" w:hAnsi="Arial"/>
          <w:color w:val="1A1A1A"/>
          <w:sz w:val="22"/>
          <w:szCs w:val="22"/>
        </w:rPr>
        <w:t xml:space="preserve">Recency of activity</w:t>
      </w:r>
    </w:p>
    <w:p>
      <w:pPr>
        <w:spacing w:after="80" w:before="0"/>
      </w:pPr>
      <w:r>
        <w:rPr>
          <w:sz w:val="22"/>
          <w:szCs w:val="22"/>
        </w:rPr>
        <w:t xml:space="preserve"/>
      </w:r>
    </w:p>
    <w:p>
      <w:pPr>
        <w:pStyle w:val="Heading1"/>
        <w:pBdr>
          <w:bottom w:val="single" w:color="2E75B6" w:sz="4" w:space="4"/>
        </w:pBdr>
        <w:shd w:fill="1F4E79" w:val="clear"/>
        <w:spacing w:after="120" w:before="360"/>
      </w:pPr>
      <w:r>
        <w:rPr>
          <w:rFonts w:ascii="Arial" w:cs="Arial" w:eastAsia="Arial" w:hAnsi="Arial"/>
          <w:b/>
          <w:bCs/>
          <w:color w:val="FFFFFF"/>
          <w:sz w:val="28"/>
          <w:szCs w:val="28"/>
        </w:rPr>
        <w:t xml:space="preserve">5.  Tools &amp; Technologies</w:t>
      </w:r>
    </w:p>
    <w:p>
      <w:pPr>
        <w:spacing w:after="100" w:before="60"/>
      </w:pPr>
      <w:r>
        <w:rPr>
          <w:rFonts w:ascii="Arial" w:cs="Arial" w:eastAsia="Arial" w:hAnsi="Arial"/>
          <w:color w:val="1A1A1A"/>
          <w:sz w:val="22"/>
          <w:szCs w:val="22"/>
        </w:rPr>
        <w:t xml:space="preserve">The following tools and technologies will be utilized throughout this project: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Category</w:t>
            </w:r>
          </w:p>
        </w:tc>
        <w:tc>
          <w:tcPr>
            <w:tcW w:type="dxa" w:w="692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Tools / Technologies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A1A1A"/>
                <w:sz w:val="22"/>
                <w:szCs w:val="22"/>
              </w:rPr>
              <w:t xml:space="preserve">Programming Language</w:t>
            </w:r>
          </w:p>
        </w:tc>
        <w:tc>
          <w:tcPr>
            <w:tcW w:type="dxa" w:w="6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1A1A"/>
                <w:sz w:val="22"/>
                <w:szCs w:val="22"/>
              </w:rPr>
              <w:t xml:space="preserve">Python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2"/>
                <w:szCs w:val="22"/>
              </w:rPr>
              <w:t xml:space="preserve">Data Manipulation</w:t>
            </w:r>
          </w:p>
        </w:tc>
        <w:tc>
          <w:tcPr>
            <w:tcW w:type="dxa" w:w="6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Pandas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A1A1A"/>
                <w:sz w:val="22"/>
                <w:szCs w:val="22"/>
              </w:rPr>
              <w:t xml:space="preserve">Numerical Computation</w:t>
            </w:r>
          </w:p>
        </w:tc>
        <w:tc>
          <w:tcPr>
            <w:tcW w:type="dxa" w:w="6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1A1A"/>
                <w:sz w:val="22"/>
                <w:szCs w:val="22"/>
              </w:rPr>
              <w:t xml:space="preserve">NumPy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2"/>
                <w:szCs w:val="22"/>
              </w:rPr>
              <w:t xml:space="preserve">Data Visualization</w:t>
            </w:r>
          </w:p>
        </w:tc>
        <w:tc>
          <w:tcPr>
            <w:tcW w:type="dxa" w:w="6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Matplotlib, Seaborn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A1A1A"/>
                <w:sz w:val="22"/>
                <w:szCs w:val="22"/>
              </w:rPr>
              <w:t xml:space="preserve">Spreadsheet Tool</w:t>
            </w:r>
          </w:p>
        </w:tc>
        <w:tc>
          <w:tcPr>
            <w:tcW w:type="dxa" w:w="6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1A1A1A"/>
                <w:sz w:val="22"/>
                <w:szCs w:val="22"/>
              </w:rPr>
              <w:t xml:space="preserve">Microsoft Excel (pivot tables &amp; basic visualization)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1A"/>
                <w:sz w:val="22"/>
                <w:szCs w:val="22"/>
              </w:rPr>
              <w:t xml:space="preserve">Dashboard Tools</w:t>
            </w:r>
          </w:p>
        </w:tc>
        <w:tc>
          <w:tcPr>
            <w:tcW w:type="dxa" w:w="69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2"/>
                <w:szCs w:val="22"/>
              </w:rPr>
              <w:t xml:space="preserve">Power BI or Tableau (optional)</w:t>
            </w:r>
          </w:p>
        </w:tc>
      </w:tr>
    </w:tbl>
    <w:p>
      <w:pPr>
        <w:spacing w:after="80" w:before="0"/>
      </w:pPr>
      <w:r>
        <w:rPr>
          <w:sz w:val="22"/>
          <w:szCs w:val="22"/>
        </w:rPr>
        <w:t xml:space="preserve"/>
      </w:r>
    </w:p>
    <w:p>
      <w:pPr>
        <w:pStyle w:val="Heading1"/>
        <w:pBdr>
          <w:bottom w:val="single" w:color="2E75B6" w:sz="4" w:space="4"/>
        </w:pBdr>
        <w:shd w:fill="1F4E79" w:val="clear"/>
        <w:spacing w:after="120" w:before="360"/>
      </w:pPr>
      <w:r>
        <w:rPr>
          <w:rFonts w:ascii="Arial" w:cs="Arial" w:eastAsia="Arial" w:hAnsi="Arial"/>
          <w:b/>
          <w:bCs/>
          <w:color w:val="FFFFFF"/>
          <w:sz w:val="28"/>
          <w:szCs w:val="28"/>
        </w:rPr>
        <w:t xml:space="preserve">6.  Expected Outcomes</w:t>
      </w:r>
    </w:p>
    <w:p>
      <w:pPr>
        <w:spacing w:after="100" w:before="60"/>
      </w:pPr>
      <w:r>
        <w:rPr>
          <w:rFonts w:ascii="Arial" w:cs="Arial" w:eastAsia="Arial" w:hAnsi="Arial"/>
          <w:color w:val="1A1A1A"/>
          <w:sz w:val="22"/>
          <w:szCs w:val="22"/>
        </w:rPr>
        <w:t xml:space="preserve">Upon successful completion of this project, the following outcomes are expected:</w:t>
      </w:r>
    </w:p>
    <w:p>
      <w:pPr>
        <w:pStyle w:val="ListParagraph"/>
        <w:numPr>
          <w:ilvl w:val="0"/>
          <w:numId w:val="2"/>
        </w:numPr>
        <w:spacing w:after="40" w:before="40"/>
      </w:pPr>
      <w:r>
        <w:rPr>
          <w:rFonts w:ascii="Arial" w:cs="Arial" w:eastAsia="Arial" w:hAnsi="Arial"/>
          <w:color w:val="1A1A1A"/>
          <w:sz w:val="22"/>
          <w:szCs w:val="22"/>
        </w:rPr>
        <w:t xml:space="preserve">Clear segmentation of subscribers into Active, Inactive, and Churned categories.</w:t>
      </w:r>
    </w:p>
    <w:p>
      <w:pPr>
        <w:pStyle w:val="ListParagraph"/>
        <w:numPr>
          <w:ilvl w:val="0"/>
          <w:numId w:val="2"/>
        </w:numPr>
        <w:spacing w:after="40" w:before="40"/>
      </w:pPr>
      <w:r>
        <w:rPr>
          <w:rFonts w:ascii="Arial" w:cs="Arial" w:eastAsia="Arial" w:hAnsi="Arial"/>
          <w:color w:val="1A1A1A"/>
          <w:sz w:val="22"/>
          <w:szCs w:val="22"/>
        </w:rPr>
        <w:t xml:space="preserve">Insights into user reading behavior, preferences, and engagement patterns.</w:t>
      </w:r>
    </w:p>
    <w:p>
      <w:pPr>
        <w:pStyle w:val="ListParagraph"/>
        <w:numPr>
          <w:ilvl w:val="0"/>
          <w:numId w:val="2"/>
        </w:numPr>
        <w:spacing w:after="40" w:before="40"/>
      </w:pPr>
      <w:r>
        <w:rPr>
          <w:rFonts w:ascii="Arial" w:cs="Arial" w:eastAsia="Arial" w:hAnsi="Arial"/>
          <w:color w:val="1A1A1A"/>
          <w:sz w:val="22"/>
          <w:szCs w:val="22"/>
        </w:rPr>
        <w:t xml:space="preserve">Identification of key factors contributing to subscriber churn.</w:t>
      </w:r>
    </w:p>
    <w:p>
      <w:pPr>
        <w:pStyle w:val="ListParagraph"/>
        <w:numPr>
          <w:ilvl w:val="0"/>
          <w:numId w:val="2"/>
        </w:numPr>
        <w:spacing w:after="40" w:before="40"/>
      </w:pPr>
      <w:r>
        <w:rPr>
          <w:rFonts w:ascii="Arial" w:cs="Arial" w:eastAsia="Arial" w:hAnsi="Arial"/>
          <w:color w:val="1A1A1A"/>
          <w:sz w:val="22"/>
          <w:szCs w:val="22"/>
        </w:rPr>
        <w:t xml:space="preserve">Data-driven recommendations for improving user retention and re-engagement.</w:t>
      </w:r>
    </w:p>
    <w:p>
      <w:pPr>
        <w:spacing w:after="80" w:before="0"/>
      </w:pPr>
      <w:r>
        <w:rPr>
          <w:sz w:val="22"/>
          <w:szCs w:val="22"/>
        </w:rPr>
        <w:t xml:space="preserve"/>
      </w:r>
    </w:p>
    <w:p>
      <w:pPr>
        <w:pStyle w:val="Heading1"/>
        <w:pBdr>
          <w:bottom w:val="single" w:color="2E75B6" w:sz="4" w:space="4"/>
        </w:pBdr>
        <w:shd w:fill="1F4E79" w:val="clear"/>
        <w:spacing w:after="120" w:before="360"/>
      </w:pPr>
      <w:r>
        <w:rPr>
          <w:rFonts w:ascii="Arial" w:cs="Arial" w:eastAsia="Arial" w:hAnsi="Arial"/>
          <w:b/>
          <w:bCs/>
          <w:color w:val="FFFFFF"/>
          <w:sz w:val="28"/>
          <w:szCs w:val="28"/>
        </w:rPr>
        <w:t xml:space="preserve">7.  Deliverables</w:t>
      </w:r>
    </w:p>
    <w:p>
      <w:pPr>
        <w:spacing w:after="100" w:before="60"/>
      </w:pPr>
      <w:r>
        <w:rPr>
          <w:rFonts w:ascii="Arial" w:cs="Arial" w:eastAsia="Arial" w:hAnsi="Arial"/>
          <w:color w:val="1A1A1A"/>
          <w:sz w:val="22"/>
          <w:szCs w:val="22"/>
        </w:rPr>
        <w:t xml:space="preserve">The final outputs of the project will include:</w:t>
      </w:r>
    </w:p>
    <w:p>
      <w:pPr>
        <w:pStyle w:val="ListParagraph"/>
        <w:numPr>
          <w:ilvl w:val="0"/>
          <w:numId w:val="2"/>
        </w:numPr>
        <w:spacing w:after="40" w:before="40"/>
      </w:pPr>
      <w:r>
        <w:rPr>
          <w:rFonts w:ascii="Arial" w:cs="Arial" w:eastAsia="Arial" w:hAnsi="Arial"/>
          <w:color w:val="1A1A1A"/>
          <w:sz w:val="22"/>
          <w:szCs w:val="22"/>
        </w:rPr>
        <w:t xml:space="preserve">A detailed data analysis report documenting all findings and insights.</w:t>
      </w:r>
    </w:p>
    <w:p>
      <w:pPr>
        <w:pStyle w:val="ListParagraph"/>
        <w:numPr>
          <w:ilvl w:val="0"/>
          <w:numId w:val="2"/>
        </w:numPr>
        <w:spacing w:after="40" w:before="40"/>
      </w:pPr>
      <w:r>
        <w:rPr>
          <w:rFonts w:ascii="Arial" w:cs="Arial" w:eastAsia="Arial" w:hAnsi="Arial"/>
          <w:color w:val="1A1A1A"/>
          <w:sz w:val="22"/>
          <w:szCs w:val="22"/>
        </w:rPr>
        <w:t xml:space="preserve">Visual dashboards containing charts and graphs for easy interpretation.</w:t>
      </w:r>
    </w:p>
    <w:p>
      <w:pPr>
        <w:pStyle w:val="ListParagraph"/>
        <w:numPr>
          <w:ilvl w:val="0"/>
          <w:numId w:val="2"/>
        </w:numPr>
        <w:spacing w:after="40" w:before="40"/>
      </w:pPr>
      <w:r>
        <w:rPr>
          <w:rFonts w:ascii="Arial" w:cs="Arial" w:eastAsia="Arial" w:hAnsi="Arial"/>
          <w:color w:val="1A1A1A"/>
          <w:sz w:val="22"/>
          <w:szCs w:val="22"/>
        </w:rPr>
        <w:t xml:space="preserve">A functional engagement scoring model for user classification.</w:t>
      </w:r>
    </w:p>
    <w:p>
      <w:pPr>
        <w:pStyle w:val="ListParagraph"/>
        <w:numPr>
          <w:ilvl w:val="0"/>
          <w:numId w:val="2"/>
        </w:numPr>
        <w:spacing w:after="40" w:before="40"/>
      </w:pPr>
      <w:r>
        <w:rPr>
          <w:rFonts w:ascii="Arial" w:cs="Arial" w:eastAsia="Arial" w:hAnsi="Arial"/>
          <w:color w:val="1A1A1A"/>
          <w:sz w:val="22"/>
          <w:szCs w:val="22"/>
        </w:rPr>
        <w:t xml:space="preserve">A summary of actionable recommendations for re-engagement strategies.</w:t>
      </w:r>
    </w:p>
    <w:p>
      <w:pPr>
        <w:spacing w:after="80" w:before="0"/>
      </w:pPr>
      <w:r>
        <w:rPr>
          <w:sz w:val="22"/>
          <w:szCs w:val="22"/>
        </w:rPr>
        <w:t xml:space="preserve"/>
      </w:r>
    </w:p>
    <w:p>
      <w:pPr>
        <w:pStyle w:val="Heading1"/>
        <w:pBdr>
          <w:bottom w:val="single" w:color="2E75B6" w:sz="4" w:space="4"/>
        </w:pBdr>
        <w:shd w:fill="1F4E79" w:val="clear"/>
        <w:spacing w:after="120" w:before="360"/>
      </w:pPr>
      <w:r>
        <w:rPr>
          <w:rFonts w:ascii="Arial" w:cs="Arial" w:eastAsia="Arial" w:hAnsi="Arial"/>
          <w:b/>
          <w:bCs/>
          <w:color w:val="FFFFFF"/>
          <w:sz w:val="28"/>
          <w:szCs w:val="28"/>
        </w:rPr>
        <w:t xml:space="preserve">8.  Conclusion</w:t>
      </w:r>
    </w:p>
    <w:p>
      <w:pPr>
        <w:spacing w:after="100" w:before="60"/>
      </w:pPr>
      <w:r>
        <w:rPr>
          <w:rFonts w:ascii="Arial" w:cs="Arial" w:eastAsia="Arial" w:hAnsi="Arial"/>
          <w:color w:val="1A1A1A"/>
          <w:sz w:val="22"/>
          <w:szCs w:val="22"/>
        </w:rPr>
        <w:t xml:space="preserve">This project aims to leverage Exploratory Data Analysis to gain a deeper understanding of subscriber behavior in digital eBook platforms. By identifying engagement patterns and classifying users effectively, the project will provide valuable insights that can help improve retention strategies and enhance the overall user experience.</w:t>
      </w:r>
    </w:p>
    <w:p>
      <w:pPr>
        <w:spacing w:after="100" w:before="60"/>
      </w:pPr>
      <w:r>
        <w:rPr>
          <w:rFonts w:ascii="Arial" w:cs="Arial" w:eastAsia="Arial" w:hAnsi="Arial"/>
          <w:color w:val="1A1A1A"/>
          <w:sz w:val="22"/>
          <w:szCs w:val="22"/>
        </w:rPr>
        <w:t xml:space="preserve">Ultimately, the findings will contribute to increased customer satisfaction, reduced churn rates, and improved business performance for digital subscription platforms.</w:t>
      </w:r>
    </w:p>
    <w:p>
      <w:pPr>
        <w:spacing w:after="160" w:before="0"/>
      </w:pPr>
      <w:r>
        <w:rPr>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color w:val="555555"/>
        <w:sz w:val="18"/>
        <w:szCs w:val="18"/>
      </w:rPr>
      <w:t xml:space="preserve">eBook Subscriber Insights using EDA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2026-04-19T16:17:55.815Z</dcterms:created>
  <dcterms:modified xsi:type="dcterms:W3CDTF">2026-04-19T16:17:55.816Z</dcterms:modified>
</cp:coreProperties>
</file>

<file path=docProps/custom.xml><?xml version="1.0" encoding="utf-8"?>
<Properties xmlns="http://schemas.openxmlformats.org/officeDocument/2006/custom-properties" xmlns:vt="http://schemas.openxmlformats.org/officeDocument/2006/docPropsVTypes"/>
</file>