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Dashboard Rebuild Guide — KWM Auto Screener</w:t>
      </w:r>
    </w:p>
    <w:p/>
    <w:p>
      <w:pPr>
        <w:spacing w:after="80"/>
      </w:pPr>
      <w:r>
        <w:t xml:space="preserve">Everything needed to rebuild the web dashboard and have it behave identically. The working file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B5005A"/>
        </w:rPr>
        <w:t xml:space="preserve">KWM_Auto_Screener.html</w:t>
      </w:r>
      <w:r>
        <w:t xml:space="preserve">) sits beside this doc; this guide explains its structure and the contracts</w:t>
      </w:r>
    </w:p>
    <w:p>
      <w:pPr>
        <w:spacing w:after="80"/>
      </w:pPr>
      <w:r>
        <w:t xml:space="preserve">it depends on.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What the dashboard is</w:t>
      </w:r>
    </w:p>
    <w:p/>
    <w:p>
      <w:pPr>
        <w:spacing w:after="80"/>
      </w:pPr>
      <w:r>
        <w:t xml:space="preserve">A single self-contained HTML file — React 18 + Tailwind + Babel loaded from CDNs, no build step. It</w:t>
      </w:r>
    </w:p>
    <w:p>
      <w:pPr>
        <w:spacing w:after="80"/>
      </w:pPr>
      <w:r>
        <w:t xml:space="preserve">reads the engine's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and presents the scan as an interactive screener with three tabs:</w:t>
      </w:r>
    </w:p>
    <w:p>
      <w:pPr>
        <w:spacing w:after="80"/>
      </w:pPr>
      <w:r>
        <w:rPr>
          <w:b/>
          <w:bCs/>
        </w:rPr>
        <w:t xml:space="preserve">Scanner</w:t>
      </w:r>
      <w:r>
        <w:t xml:space="preserve">, </w:t>
      </w:r>
      <w:r>
        <w:rPr>
          <w:b/>
          <w:bCs/>
        </w:rPr>
        <w:t xml:space="preserve">History</w:t>
      </w:r>
      <w:r>
        <w:t xml:space="preserve">, </w:t>
      </w:r>
      <w:r>
        <w:rPr>
          <w:b/>
          <w:bCs/>
        </w:rPr>
        <w:t xml:space="preserve">Performance</w:t>
      </w:r>
      <w:r>
        <w:t xml:space="preserve">. Drop it on any static host (Netlify) or open it locally.</w:t>
      </w:r>
    </w:p>
    <w:p/>
    <w:p>
      <w:pPr>
        <w:spacing w:after="80"/>
      </w:pPr>
      <w:r>
        <w:rPr>
          <w:b/>
          <w:bCs/>
        </w:rPr>
        <w:t xml:space="preserve">Stack (all via CDN, no bundler):</w:t>
      </w:r>
    </w:p>
    <w:p>
      <w:pPr>
        <w:pStyle w:val="ListParagraph"/>
        <w:numPr>
          <w:ilvl w:val="0"/>
          <w:numId w:val="2"/>
        </w:numPr>
      </w:pPr>
      <w:r>
        <w:t xml:space="preserve">React 18 + ReactDOM (</w:t>
      </w:r>
      <w:r>
        <w:rPr>
          <w:rFonts w:ascii="Consolas" w:cs="Consolas" w:eastAsia="Consolas" w:hAnsi="Consolas"/>
          <w:color w:val="B5005A"/>
        </w:rPr>
        <w:t xml:space="preserve">unpkg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Tailwind (</w:t>
      </w:r>
      <w:r>
        <w:rPr>
          <w:rFonts w:ascii="Consolas" w:cs="Consolas" w:eastAsia="Consolas" w:hAnsi="Consolas"/>
          <w:color w:val="B5005A"/>
        </w:rPr>
        <w:t xml:space="preserve">cdn.tailwindcss.com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Babel standalone (in-browser JSX, </w:t>
      </w:r>
      <w:r>
        <w:rPr>
          <w:rFonts w:ascii="Consolas" w:cs="Consolas" w:eastAsia="Consolas" w:hAnsi="Consolas"/>
          <w:color w:val="B5005A"/>
        </w:rPr>
        <w:t xml:space="preserve">type="text/babel"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Fonts: Archivo + JetBrains Mono (Google Fonts)</w:t>
      </w:r>
    </w:p>
    <w:p>
      <w:pPr>
        <w:pStyle w:val="ListParagraph"/>
        <w:numPr>
          <w:ilvl w:val="0"/>
          <w:numId w:val="2"/>
        </w:numPr>
      </w:pPr>
      <w:r>
        <w:t xml:space="preserve">Inline SVG icon components (no icon library dependency)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The data contract</w:t>
      </w:r>
    </w:p>
    <w:p/>
    <w:p>
      <w:pPr>
        <w:spacing w:after="80"/>
      </w:pPr>
      <w:r>
        <w:t xml:space="preserve">The single most important thing to preserve. The dashboard reads from:</w:t>
      </w:r>
    </w:p>
    <w:p/>
    <w:p>
      <w:pPr>
        <w:spacing w:after="80"/>
      </w:pPr>
      <w:r>
        <w:t xml:space="preserve">```</w:t>
      </w:r>
    </w:p>
    <w:p>
      <w:pPr>
        <w:spacing w:after="80"/>
      </w:pPr>
      <w:r>
        <w:t xml:space="preserve">const DATA_URL = "https://raw.githubusercontent.com/krishbahri93/kwm-scan/main/results.json";</w:t>
      </w:r>
    </w:p>
    <w:p>
      <w:pPr>
        <w:spacing w:after="80"/>
      </w:pPr>
      <w:r>
        <w:t xml:space="preserve">```</w:t>
      </w:r>
    </w:p>
    <w:p/>
    <w:p>
      <w:pPr>
        <w:spacing w:after="80"/>
      </w:pPr>
      <w:r>
        <w:t xml:space="preserve">It expects either </w:t>
      </w:r>
      <w:r>
        <w:rPr>
          <w:rFonts w:ascii="Consolas" w:cs="Consolas" w:eastAsia="Consolas" w:hAnsi="Consolas"/>
          <w:color w:val="B5005A"/>
        </w:rPr>
        <w:t xml:space="preserve">{ generated_at, rows: [...] }</w:t>
      </w:r>
      <w:r>
        <w:t xml:space="preserve"> or a bare </w:t>
      </w:r>
      <w:r>
        <w:rPr>
          <w:rFonts w:ascii="Consolas" w:cs="Consolas" w:eastAsia="Consolas" w:hAnsi="Consolas"/>
          <w:color w:val="B5005A"/>
        </w:rPr>
        <w:t xml:space="preserve">rows</w:t>
      </w:r>
      <w:r>
        <w:t xml:space="preserve"> array. Each row:</w:t>
      </w:r>
    </w:p>
    <w:p/>
    <w:p>
      <w:pPr>
        <w:spacing w:after="80"/>
      </w:pPr>
      <w:r>
        <w:t xml:space="preserve">```</w:t>
      </w:r>
    </w:p>
    <w:p>
      <w:pPr>
        <w:spacing w:after="80"/>
      </w:pPr>
      <w:r>
        <w:t xml:space="preserve">{ sym, sector, tf, up (bool), sig, zLow, zHigh, ltp, sinceTrig, volX, spike (bool), confMin }</w:t>
      </w:r>
    </w:p>
    <w:p>
      <w:pPr>
        <w:spacing w:after="80"/>
      </w:pPr>
      <w:r>
        <w:t xml:space="preserve">```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sig</w:t>
      </w:r>
      <w:r>
        <w:t xml:space="preserve"> is one of </w:t>
      </w:r>
      <w:r>
        <w:rPr>
          <w:rFonts w:ascii="Consolas" w:cs="Consolas" w:eastAsia="Consolas" w:hAnsi="Consolas"/>
          <w:color w:val="B5005A"/>
        </w:rPr>
        <w:t xml:space="preserve">"Triggered" | "In Zone" | "Approaching"</w:t>
      </w:r>
      <w:r>
        <w:t xml:space="preserve">. This must match the engine's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save_dashboard_json</w:t>
      </w:r>
      <w:r>
        <w:t xml:space="preserve"> output exactly — if you change one side, change the other.</w:t>
      </w:r>
    </w:p>
    <w:p/>
    <w:p>
      <w:pPr>
        <w:pStyle w:val="Heading3"/>
      </w:pPr>
      <w:r>
        <w:t xml:space="preserve">Three ways data gets in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Auto-fetch</w:t>
      </w:r>
      <w:r>
        <w:t xml:space="preserve"> on load and every </w:t>
      </w:r>
      <w:r>
        <w:rPr>
          <w:b/>
          <w:bCs/>
        </w:rPr>
        <w:t xml:space="preserve">90 seconds</w:t>
      </w:r>
      <w:r>
        <w:t xml:space="preserve"> (</w:t>
      </w:r>
      <w:r>
        <w:rPr>
          <w:rFonts w:ascii="Consolas" w:cs="Consolas" w:eastAsia="Consolas" w:hAnsi="Consolas"/>
          <w:color w:val="B5005A"/>
        </w:rPr>
        <w:t xml:space="preserve">setInterval(loadFeed, 90000)</w:t>
      </w:r>
      <w:r>
        <w:t xml:space="preserve">), cache-busted with </w:t>
      </w:r>
      <w:r>
        <w:rPr>
          <w:rFonts w:ascii="Consolas" w:cs="Consolas" w:eastAsia="Consolas" w:hAnsi="Consolas"/>
          <w:color w:val="B5005A"/>
        </w:rPr>
        <w:t xml:space="preserve">?t=Date.now()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 upload</w:t>
      </w:r>
      <w:r>
        <w:t xml:space="preserve"> of a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via a file input (</w:t>
      </w:r>
      <w:r>
        <w:rPr>
          <w:rFonts w:ascii="Consolas" w:cs="Consolas" w:eastAsia="Consolas" w:hAnsi="Consolas"/>
          <w:color w:val="B5005A"/>
        </w:rPr>
        <w:t xml:space="preserve">onUpload</w:t>
      </w:r>
      <w:r>
        <w:t xml:space="preserve"> → </w:t>
      </w:r>
      <w:r>
        <w:rPr>
          <w:rFonts w:ascii="Consolas" w:cs="Consolas" w:eastAsia="Consolas" w:hAnsi="Consolas"/>
          <w:color w:val="B5005A"/>
        </w:rPr>
        <w:t xml:space="preserve">ingest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Sample/demo data</w:t>
      </w:r>
      <w:r>
        <w:t xml:space="preserve"> generated client-side (</w:t>
      </w:r>
      <w:r>
        <w:rPr>
          <w:rFonts w:ascii="Consolas" w:cs="Consolas" w:eastAsia="Consolas" w:hAnsi="Consolas"/>
          <w:color w:val="B5005A"/>
        </w:rPr>
        <w:t xml:space="preserve">buildRows</w:t>
      </w:r>
      <w:r>
        <w:t xml:space="preserve">, seeded PRNG </w:t>
      </w:r>
      <w:r>
        <w:rPr>
          <w:rFonts w:ascii="Consolas" w:cs="Consolas" w:eastAsia="Consolas" w:hAnsi="Consolas"/>
          <w:color w:val="B5005A"/>
        </w:rPr>
        <w:t xml:space="preserve">mulberry32</w:t>
      </w:r>
      <w:r>
        <w:t xml:space="preserve">) when no live</w:t>
      </w:r>
    </w:p>
    <w:p>
      <w:pPr>
        <w:spacing w:after="80"/>
      </w:pPr>
      <w:r>
        <w:t xml:space="preserve">   feed is present — this is why the dashboard looks populated even with no backend. **The History</w:t>
      </w:r>
    </w:p>
    <w:p>
      <w:pPr>
        <w:spacing w:after="80"/>
      </w:pPr>
      <w:r>
        <w:t xml:space="preserve">   and Performance tabs are currently always sample data** (see roadmap to wire real outcomes).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ingest(j)</w:t>
      </w:r>
      <w:r>
        <w:t xml:space="preserve"> normalizes either shape, attaches a stable </w:t>
      </w:r>
      <w:r>
        <w:rPr>
          <w:rFonts w:ascii="Consolas" w:cs="Consolas" w:eastAsia="Consolas" w:hAnsi="Consolas"/>
          <w:color w:val="B5005A"/>
        </w:rPr>
        <w:t xml:space="preserve">id = sym+"-"+tf</w:t>
      </w:r>
      <w:r>
        <w:t xml:space="preserve">, and joins each row to its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META</w:t>
      </w:r>
      <w:r>
        <w:t xml:space="preserve"> entry for universe/sector/tier/F&amp;O classification.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Build order (rebuild from zero)</w:t>
      </w:r>
    </w:p>
    <w:p/>
    <w:p>
      <w:pPr>
        <w:pStyle w:val="Heading3"/>
      </w:pPr>
      <w:r>
        <w:t xml:space="preserve">Step 1 — Constants &amp; metadata</w:t>
      </w:r>
    </w:p>
    <w:p/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META</w:t>
      </w:r>
      <w:r>
        <w:t xml:space="preserve">: array of </w:t>
      </w:r>
      <w:r>
        <w:rPr>
          <w:rFonts w:ascii="Consolas" w:cs="Consolas" w:eastAsia="Consolas" w:hAnsi="Consolas"/>
          <w:color w:val="B5005A"/>
        </w:rPr>
        <w:t xml:space="preserve">[symbol, sector, tier, fno]</w:t>
      </w:r>
      <w:r>
        <w:t xml:space="preserve"> — tier ∈ mega/large/mid/small drives universe</w:t>
      </w:r>
    </w:p>
    <w:p>
      <w:pPr>
        <w:spacing w:after="80"/>
      </w:pPr>
      <w:r>
        <w:t xml:space="preserve">  filtering; </w:t>
      </w:r>
      <w:r>
        <w:rPr>
          <w:rFonts w:ascii="Consolas" w:cs="Consolas" w:eastAsia="Consolas" w:hAnsi="Consolas"/>
          <w:color w:val="B5005A"/>
        </w:rPr>
        <w:t xml:space="preserve">fno</w:t>
      </w:r>
      <w:r>
        <w:t xml:space="preserve"> (0/1) drives the F&amp;O universe. </w:t>
      </w:r>
      <w:r>
        <w:rPr>
          <w:rFonts w:ascii="Consolas" w:cs="Consolas" w:eastAsia="Consolas" w:hAnsi="Consolas"/>
          <w:color w:val="B5005A"/>
        </w:rPr>
        <w:t xml:space="preserve">META_BY_SYM</w:t>
      </w:r>
      <w:r>
        <w:t xml:space="preserve"> is the lookup.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TFS = ["15m","1H","75m","4H","1D","1W"]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UNIVERSES = ["Nifty 500","Nifty 50","Nifty 200","Nifty Midcap 150","Nifty Smallcap 250","Nifty F&amp;O"]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SIGNALS = ["Triggered","In Zone","Approaching"]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inUniverse(m, u)</w:t>
      </w:r>
      <w:r>
        <w:t xml:space="preserve">: maps a META row to whether it belongs in the selected universe.</w:t>
      </w:r>
    </w:p>
    <w:p/>
    <w:p>
      <w:pPr>
        <w:pStyle w:val="Heading3"/>
      </w:pPr>
      <w:r>
        <w:t xml:space="preserve">Step 2 — Data ingestion (the contract above)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ingest</w:t>
      </w:r>
      <w:r>
        <w:t xml:space="preserve">, </w:t>
      </w:r>
      <w:r>
        <w:rPr>
          <w:rFonts w:ascii="Consolas" w:cs="Consolas" w:eastAsia="Consolas" w:hAnsi="Consolas"/>
          <w:color w:val="B5005A"/>
        </w:rPr>
        <w:t xml:space="preserve">loadFeed</w:t>
      </w:r>
      <w:r>
        <w:t xml:space="preserve">, </w:t>
      </w:r>
      <w:r>
        <w:rPr>
          <w:rFonts w:ascii="Consolas" w:cs="Consolas" w:eastAsia="Consolas" w:hAnsi="Consolas"/>
          <w:color w:val="B5005A"/>
        </w:rPr>
        <w:t xml:space="preserve">onUpload</w:t>
      </w:r>
      <w:r>
        <w:t xml:space="preserve">, and the 90s </w:t>
      </w:r>
      <w:r>
        <w:rPr>
          <w:rFonts w:ascii="Consolas" w:cs="Consolas" w:eastAsia="Consolas" w:hAnsi="Consolas"/>
          <w:color w:val="B5005A"/>
        </w:rPr>
        <w:t xml:space="preserve">useEffect</w:t>
      </w:r>
      <w:r>
        <w:t xml:space="preserve"> interval. Keep the demo fallback so the UI</w:t>
      </w:r>
    </w:p>
    <w:p>
      <w:pPr>
        <w:spacing w:after="80"/>
      </w:pPr>
      <w:r>
        <w:t xml:space="preserve">never renders empty.</w:t>
      </w:r>
    </w:p>
    <w:p/>
    <w:p>
      <w:pPr>
        <w:pStyle w:val="Heading3"/>
      </w:pPr>
      <w:r>
        <w:t xml:space="preserve">Step 3 — Filter state &amp; derived rows</w:t>
      </w:r>
    </w:p>
    <w:p/>
    <w:p>
      <w:pPr>
        <w:spacing w:after="80"/>
      </w:pPr>
      <w:r>
        <w:t xml:space="preserve">State: dark mode, tab, universe, sector, tf, signal, spikeOnly, search query </w:t>
      </w:r>
      <w:r>
        <w:rPr>
          <w:rFonts w:ascii="Consolas" w:cs="Consolas" w:eastAsia="Consolas" w:hAnsi="Consolas"/>
          <w:color w:val="B5005A"/>
        </w:rPr>
        <w:t xml:space="preserve">q</w:t>
      </w:r>
      <w:r>
        <w:t xml:space="preserve">, selection set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sel</w:t>
      </w:r>
      <w:r>
        <w:t xml:space="preserve">, period. </w:t>
      </w:r>
      <w:r>
        <w:rPr>
          <w:rFonts w:ascii="Consolas" w:cs="Consolas" w:eastAsia="Consolas" w:hAnsi="Consolas"/>
          <w:color w:val="B5005A"/>
        </w:rPr>
        <w:t xml:space="preserve">rows</w:t>
      </w:r>
      <w:r>
        <w:t xml:space="preserve"> is the memoized filtered view; </w:t>
      </w:r>
      <w:r>
        <w:rPr>
          <w:rFonts w:ascii="Consolas" w:cs="Consolas" w:eastAsia="Consolas" w:hAnsi="Consolas"/>
          <w:color w:val="B5005A"/>
        </w:rPr>
        <w:t xml:space="preserve">counts</w:t>
      </w:r>
      <w:r>
        <w:t xml:space="preserve"> drives the summary cards (total /</w:t>
      </w:r>
    </w:p>
    <w:p>
      <w:pPr>
        <w:spacing w:after="80"/>
      </w:pPr>
      <w:r>
        <w:t xml:space="preserve">triggered / in-zone / spikes).</w:t>
      </w:r>
    </w:p>
    <w:p/>
    <w:p>
      <w:pPr>
        <w:pStyle w:val="Heading3"/>
      </w:pPr>
      <w:r>
        <w:t xml:space="preserve">Step 4 — Scanner tab</w:t>
      </w:r>
    </w:p>
    <w:p/>
    <w:p>
      <w:pPr>
        <w:spacing w:after="80"/>
      </w:pPr>
      <w:r>
        <w:t xml:space="preserve">The main table. Columns: checkbox, symbol, sector, TF chip, trend (up/down icon), signal pill, entry</w:t>
      </w:r>
    </w:p>
    <w:p>
      <w:pPr>
        <w:spacing w:after="80"/>
      </w:pPr>
      <w:r>
        <w:t xml:space="preserve">zone (</w:t>
      </w:r>
      <w:r>
        <w:rPr>
          <w:rFonts w:ascii="Consolas" w:cs="Consolas" w:eastAsia="Consolas" w:hAnsi="Consolas"/>
          <w:color w:val="B5005A"/>
        </w:rPr>
        <w:t xml:space="preserve">zLow–zHigh</w:t>
      </w:r>
      <w:r>
        <w:t xml:space="preserve">), LTP, since-trigger %, vol ×avg (with a spike bolt at ≥1.8×), confirmed-ago.</w:t>
      </w:r>
    </w:p>
    <w:p>
      <w:pPr>
        <w:spacing w:after="80"/>
      </w:pPr>
      <w:r>
        <w:t xml:space="preserve">Selecting rows enables export.</w:t>
      </w:r>
    </w:p>
    <w:p/>
    <w:p>
      <w:pPr>
        <w:pStyle w:val="Heading3"/>
      </w:pPr>
      <w:r>
        <w:t xml:space="preserve">Step 5 — Export to TradingView</w:t>
      </w:r>
    </w:p>
    <w:p/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flatString()</w:t>
      </w:r>
      <w:r>
        <w:t xml:space="preserve">: dedup symbols → </w:t>
      </w:r>
      <w:r>
        <w:rPr>
          <w:rFonts w:ascii="Consolas" w:cs="Consolas" w:eastAsia="Consolas" w:hAnsi="Consolas"/>
          <w:color w:val="B5005A"/>
        </w:rPr>
        <w:t xml:space="preserve">NSE:SYM,NSE:SYM,...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sectionString()</w:t>
      </w:r>
      <w:r>
        <w:t xml:space="preserve">: when viewing all TFs, group into </w:t>
      </w:r>
      <w:r>
        <w:rPr>
          <w:rFonts w:ascii="Consolas" w:cs="Consolas" w:eastAsia="Consolas" w:hAnsi="Consolas"/>
          <w:color w:val="B5005A"/>
        </w:rPr>
        <w:t xml:space="preserve">###15m,NSE:...</w:t>
      </w:r>
      <w:r>
        <w:t xml:space="preserve"> sections.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copyText()</w:t>
      </w:r>
      <w:r>
        <w:t xml:space="preserve"> (clipboard, with textarea fallback) and </w:t>
      </w:r>
      <w:r>
        <w:rPr>
          <w:rFonts w:ascii="Consolas" w:cs="Consolas" w:eastAsia="Consolas" w:hAnsi="Consolas"/>
          <w:color w:val="B5005A"/>
        </w:rPr>
        <w:t xml:space="preserve">downloadFile()</w:t>
      </w:r>
      <w:r>
        <w:t xml:space="preserve"> (.txt blob).</w:t>
      </w:r>
    </w:p>
    <w:p/>
    <w:p>
      <w:pPr>
        <w:pStyle w:val="Heading3"/>
      </w:pPr>
      <w:r>
        <w:t xml:space="preserve">Step 6 — History tab</w:t>
      </w:r>
    </w:p>
    <w:p/>
    <w:p>
      <w:pPr>
        <w:spacing w:after="80"/>
      </w:pPr>
      <w:r>
        <w:t xml:space="preserve">Per-day table: triggered, in-zone, vol spikes, targets hit, hit %, avg gain. Currently from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buildHistory</w:t>
      </w:r>
      <w:r>
        <w:t xml:space="preserve"> (sample).</w:t>
      </w:r>
    </w:p>
    <w:p/>
    <w:p>
      <w:pPr>
        <w:pStyle w:val="Heading3"/>
      </w:pPr>
      <w:r>
        <w:t xml:space="preserve">Step 7 — Performance tab</w:t>
      </w:r>
    </w:p>
    <w:p/>
    <w:p>
      <w:pPr>
        <w:spacing w:after="80"/>
      </w:pPr>
      <w:r>
        <w:t xml:space="preserve">Daily/Weekly/Monthly windows, four KPI cards (triggered / targets hit / hit rate / avg gain on</w:t>
      </w:r>
    </w:p>
    <w:p>
      <w:pPr>
        <w:spacing w:after="80"/>
      </w:pPr>
      <w:r>
        <w:t xml:space="preserve">hits), and a triggered-trades table with Hit/Open/Stopped status. Currently from </w:t>
      </w:r>
      <w:r>
        <w:rPr>
          <w:rFonts w:ascii="Consolas" w:cs="Consolas" w:eastAsia="Consolas" w:hAnsi="Consolas"/>
          <w:color w:val="B5005A"/>
        </w:rPr>
        <w:t xml:space="preserve">buildTrades</w:t>
      </w:r>
    </w:p>
    <w:p>
      <w:pPr>
        <w:spacing w:after="80"/>
      </w:pPr>
      <w:r>
        <w:t xml:space="preserve">(sample). Note the "first touch counts" definition is stated in the footnote — keep it consistent</w:t>
      </w:r>
    </w:p>
    <w:p>
      <w:pPr>
        <w:spacing w:after="80"/>
      </w:pPr>
      <w:r>
        <w:t xml:space="preserve">with the engine's target logic.</w:t>
      </w:r>
    </w:p>
    <w:p/>
    <w:p>
      <w:pPr>
        <w:pStyle w:val="Heading3"/>
      </w:pPr>
      <w:r>
        <w:t xml:space="preserve">Step 8 — Theming &amp; chrome</w:t>
      </w:r>
    </w:p>
    <w:p/>
    <w:p>
      <w:pPr>
        <w:spacing w:after="80"/>
      </w:pPr>
      <w:r>
        <w:t xml:space="preserve">Light/dark palettes in the </w:t>
      </w:r>
      <w:r>
        <w:rPr>
          <w:rFonts w:ascii="Consolas" w:cs="Consolas" w:eastAsia="Consolas" w:hAnsi="Consolas"/>
          <w:color w:val="B5005A"/>
        </w:rPr>
        <w:t xml:space="preserve">c</w:t>
      </w:r>
      <w:r>
        <w:t xml:space="preserve"> object; brand colors </w:t>
      </w:r>
      <w:r>
        <w:rPr>
          <w:rFonts w:ascii="Consolas" w:cs="Consolas" w:eastAsia="Consolas" w:hAnsi="Consolas"/>
          <w:color w:val="B5005A"/>
        </w:rPr>
        <w:t xml:space="preserve">TEAL #2a7c8f</w:t>
      </w:r>
      <w:r>
        <w:t xml:space="preserve">, </w:t>
      </w:r>
      <w:r>
        <w:rPr>
          <w:rFonts w:ascii="Consolas" w:cs="Consolas" w:eastAsia="Consolas" w:hAnsi="Consolas"/>
          <w:color w:val="B5005A"/>
        </w:rPr>
        <w:t xml:space="preserve">MINT #37c79b</w:t>
      </w:r>
      <w:r>
        <w:t xml:space="preserve">, </w:t>
      </w:r>
      <w:r>
        <w:rPr>
          <w:rFonts w:ascii="Consolas" w:cs="Consolas" w:eastAsia="Consolas" w:hAnsi="Consolas"/>
          <w:color w:val="B5005A"/>
        </w:rPr>
        <w:t xml:space="preserve">CHAR #3b4147</w:t>
      </w:r>
      <w:r>
        <w:t xml:space="preserve">;</w:t>
      </w:r>
    </w:p>
    <w:p>
      <w:pPr>
        <w:spacing w:after="80"/>
      </w:pPr>
      <w:r>
        <w:t xml:space="preserve">top gradient bar; the SEBI disclaimer footer (</w:t>
      </w:r>
      <w:r>
        <w:rPr>
          <w:b/>
          <w:bCs/>
        </w:rPr>
        <w:t xml:space="preserve">keep this verbatim</w:t>
      </w:r>
      <w:r>
        <w:t xml:space="preserve"> — it's a compliance statement).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Local preview</w:t>
      </w:r>
    </w:p>
    <w:p/>
    <w:p>
      <w:pPr>
        <w:spacing w:after="80"/>
      </w:pPr>
      <w:r>
        <w:t xml:space="preserve">Just open the </w:t>
      </w:r>
      <w:r>
        <w:rPr>
          <w:rFonts w:ascii="Consolas" w:cs="Consolas" w:eastAsia="Consolas" w:hAnsi="Consolas"/>
          <w:color w:val="B5005A"/>
        </w:rPr>
        <w:t xml:space="preserve">.html</w:t>
      </w:r>
      <w:r>
        <w:t xml:space="preserve"> in a browser. No server needed. To test against live data, ensure the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at </w:t>
      </w:r>
      <w:r>
        <w:rPr>
          <w:rFonts w:ascii="Consolas" w:cs="Consolas" w:eastAsia="Consolas" w:hAnsi="Consolas"/>
          <w:color w:val="B5005A"/>
        </w:rPr>
        <w:t xml:space="preserve">DATA_URL</w:t>
      </w:r>
      <w:r>
        <w:t xml:space="preserve"> is reachable (CORS-open via GitHub raw — already the case).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Gotchas worth preserving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build step is a feature.</w:t>
      </w:r>
      <w:r>
        <w:t xml:space="preserve"> It deploys as one static file. Don't introduce a bundler unless you</w:t>
      </w:r>
    </w:p>
    <w:p>
      <w:pPr>
        <w:spacing w:after="80"/>
      </w:pPr>
      <w:r>
        <w:t xml:space="preserve">  consciously decide to (see roadmap on migrating off Babel-in-browser for speed).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`sig` strings are load-bearing.</w:t>
      </w:r>
      <w:r>
        <w:t xml:space="preserve"> They key the color map (</w:t>
      </w:r>
      <w:r>
        <w:rPr>
          <w:rFonts w:ascii="Consolas" w:cs="Consolas" w:eastAsia="Consolas" w:hAnsi="Consolas"/>
          <w:color w:val="B5005A"/>
        </w:rPr>
        <w:t xml:space="preserve">SIG</w:t>
      </w:r>
      <w:r>
        <w:t xml:space="preserve">) and the filters. Keep them</w:t>
      </w:r>
    </w:p>
    <w:p>
      <w:pPr>
        <w:spacing w:after="80"/>
      </w:pPr>
      <w:r>
        <w:t xml:space="preserve">  exactly </w:t>
      </w:r>
      <w:r>
        <w:rPr>
          <w:rFonts w:ascii="Consolas" w:cs="Consolas" w:eastAsia="Consolas" w:hAnsi="Consolas"/>
          <w:color w:val="B5005A"/>
        </w:rPr>
        <w:t xml:space="preserve">"Triggered" | "In Zone" | "Approaching"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History/Performance are sample data today.</w:t>
      </w:r>
      <w:r>
        <w:t xml:space="preserve"> Anyone reading those numbers as real will be</w:t>
      </w:r>
    </w:p>
    <w:p>
      <w:pPr>
        <w:spacing w:after="80"/>
      </w:pPr>
      <w:r>
        <w:t xml:space="preserve">  misled — the footer says "sample data," keep it until real outcomes are wired 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disclaimer footer is a compliance element</w:t>
      </w:r>
      <w:r>
        <w:t xml:space="preserve">, not decoration. Preserve it on any rebuild.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2026-06-06T04:38:47.581Z</dcterms:created>
  <dcterms:modified xsi:type="dcterms:W3CDTF">2026-06-06T04:38:47.581Z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