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Version History &amp; Glossary</w:t>
      </w:r>
    </w:p>
    <w:p/>
    <w:p>
      <w:pPr>
        <w:pBdr>
          <w:bottom w:val="single" w:color="2A7C8F" w:sz="6" w:space="1"/>
        </w:pBdr>
        <w:spacing w:after="80"/>
      </w:pPr>
    </w:p>
    <w:p/>
    <w:p>
      <w:pPr>
        <w:pStyle w:val="Heading2"/>
      </w:pPr>
      <w:r>
        <w:t xml:space="preserve">Part 1 — Version history &amp; lineage</w:t>
      </w:r>
    </w:p>
    <w:p/>
    <w:p>
      <w:pPr>
        <w:spacing w:after="80"/>
      </w:pPr>
      <w:r>
        <w:t xml:space="preserve">The system has two naming lineages that describe the same underlying strategy at different stages.</w:t>
      </w:r>
    </w:p>
    <w:p>
      <w:pPr>
        <w:spacing w:after="80"/>
      </w:pPr>
      <w:r>
        <w:t xml:space="preserve">Recording this prevents accidentally reintroducing retired logic.</w:t>
      </w:r>
    </w:p>
    <w:p/>
    <w:p>
      <w:pPr>
        <w:pStyle w:val="Heading3"/>
      </w:pPr>
      <w:r>
        <w:t xml:space="preserve">The two lineages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Single-trade lineage (earlier):</w:t>
      </w:r>
      <w:r>
        <w:t xml:space="preserve"> the original "KB Fib Daily" indicator family, versions up to</w:t>
      </w:r>
    </w:p>
    <w:p>
      <w:pPr>
        <w:spacing w:after="80"/>
      </w:pPr>
      <w:r>
        <w:t xml:space="preserve">  ~v10.2 (auto-detect) and v11.0 (manual A/B input). This used an </w:t>
      </w:r>
      <w:r>
        <w:rPr>
          <w:b/>
          <w:bCs/>
        </w:rPr>
        <w:t xml:space="preserve">A1/A2/A3 peak queue</w:t>
      </w:r>
      <w:r>
        <w:t xml:space="preserve"> that</w:t>
      </w:r>
    </w:p>
    <w:p>
      <w:pPr>
        <w:spacing w:after="80"/>
      </w:pPr>
      <w:r>
        <w:t xml:space="preserve">  promoted to the next higher peak when the active setup's TP was hit, a single entry zone</w:t>
      </w:r>
    </w:p>
    <w:p>
      <w:pPr>
        <w:spacing w:after="80"/>
      </w:pPr>
      <w:r>
        <w:t xml:space="preserve">  (0.32–0.382) and a single TP zone (0.618–0.68), with EMA 9/21 confirmation.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Dual-trade lineage (current, published):</w:t>
      </w:r>
      <w:r>
        <w:t xml:space="preserve"> "ZigZag KB Fib Dual Trade." Replaces the single</w:t>
      </w:r>
    </w:p>
    <w:p>
      <w:pPr>
        <w:spacing w:after="80"/>
      </w:pPr>
      <w:r>
        <w:t xml:space="preserve">  entry/exit with </w:t>
      </w:r>
      <w:r>
        <w:rPr>
          <w:b/>
          <w:bCs/>
        </w:rPr>
        <w:t xml:space="preserve">two sequential trades (T1 → T2)</w:t>
      </w:r>
      <w:r>
        <w:t xml:space="preserve"> off one A→B down-swing, where the 0.618–0.68</w:t>
      </w:r>
    </w:p>
    <w:p>
      <w:pPr>
        <w:spacing w:after="80"/>
      </w:pPr>
      <w:r>
        <w:t xml:space="preserve">  band is simultaneously T1's TP and T2's entry, and T2 targets 1.0–1.05. Uses TradingView's ZigZag</w:t>
      </w:r>
    </w:p>
    <w:p>
      <w:pPr>
        <w:spacing w:after="80"/>
      </w:pPr>
      <w:r>
        <w:t xml:space="preserve">  library for swing detection (deviation %, default 35) and a six-state visual machine with six</w:t>
      </w:r>
    </w:p>
    <w:p>
      <w:pPr>
        <w:spacing w:after="80"/>
      </w:pPr>
      <w:r>
        <w:t xml:space="preserve">  alert conditions. This is the version at the published link and the one this folder documents as</w:t>
      </w:r>
    </w:p>
    <w:p>
      <w:pPr>
        <w:spacing w:after="80"/>
      </w:pPr>
      <w:r>
        <w:t xml:space="preserve">  authoritative.</w:t>
      </w:r>
    </w:p>
    <w:p/>
    <w:p>
      <w:pPr>
        <w:pStyle w:val="Heading3"/>
      </w:pPr>
      <w:r>
        <w:t xml:space="preserve">Architectural decisions to preserve (do not silently reverse)</w:t>
      </w:r>
    </w:p>
    <w:p/>
    <w:p>
      <w:pPr>
        <w:spacing w:after="80"/>
      </w:pPr>
      <w:r>
        <w:t xml:space="preserve">These were deliberate; reintroducing the old behavior would be a regression:</w:t>
      </w:r>
    </w:p>
    <w:p/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Dual-trade structure over single-trade.</w:t>
      </w:r>
      <w:r>
        <w:t xml:space="preserve"> The current model intentionally layers two trades on</w:t>
      </w:r>
    </w:p>
    <w:p>
      <w:pPr>
        <w:spacing w:after="80"/>
      </w:pPr>
      <w:r>
        <w:t xml:space="preserve">   one swing. Don't collapse it back to one entry/exit.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ZigZag-library swing detection</w:t>
      </w:r>
      <w:r>
        <w:t xml:space="preserve"> in the indicator (vs the scanner's fixed-width dominant-swing</w:t>
      </w:r>
    </w:p>
    <w:p>
      <w:pPr>
        <w:spacing w:after="80"/>
      </w:pPr>
      <w:r>
        <w:t xml:space="preserve">   pivots). The two methods are known to differ (rules §6.3); that's accepted, not a bug to "fix" by</w:t>
      </w:r>
    </w:p>
    <w:p>
      <w:pPr>
        <w:spacing w:after="80"/>
      </w:pPr>
      <w:r>
        <w:t xml:space="preserve">   forcing them identical without testing.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Read-only Dhan adapter.</w:t>
      </w:r>
      <w:r>
        <w:t xml:space="preserve"> The data layer fetches candles only and never imports an order</w:t>
      </w:r>
    </w:p>
    <w:p>
      <w:pPr>
        <w:spacing w:after="80"/>
      </w:pPr>
      <w:r>
        <w:t xml:space="preserve">   function. This boundary is intentional and safety-relevant.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First-touch TP</w:t>
      </w:r>
      <w:r>
        <w:t xml:space="preserve"> (target counts on first touch of the zone, not a close beyond it). A known,</w:t>
      </w:r>
    </w:p>
    <w:p>
      <w:pPr>
        <w:spacing w:after="80"/>
      </w:pPr>
      <w:r>
        <w:t xml:space="preserve">   deliberate trade-off — see thesis and rules §10.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Both filters ON by default.</w:t>
      </w:r>
      <w:r>
        <w:t xml:space="preserve"> The strategy's expectations assume EMA + volume both active.</w:t>
      </w:r>
    </w:p>
    <w:p/>
    <w:p>
      <w:pPr>
        <w:pStyle w:val="Heading3"/>
      </w:pPr>
      <w:r>
        <w:t xml:space="preserve">From earlier lineage, worth remembering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TP math reversion (historic v6):</w:t>
      </w:r>
      <w:r>
        <w:t xml:space="preserve"> an earlier change to the take-profit calculation was reverted;</w:t>
      </w:r>
    </w:p>
    <w:p>
      <w:pPr>
        <w:spacing w:after="80"/>
      </w:pPr>
      <w:r>
        <w:t xml:space="preserve">  the current golden-zone TP math is the intended one.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Removed broken peak-threshold check (historic v10.2):</w:t>
      </w:r>
      <w:r>
        <w:t xml:space="preserve"> a peak threshold check that misbehaved</w:t>
      </w:r>
    </w:p>
    <w:p>
      <w:pPr>
        <w:spacing w:after="80"/>
      </w:pPr>
      <w:r>
        <w:t xml:space="preserve">  was removed. Don't reintroduce it.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A1/A2/A3 queue:</w:t>
      </w:r>
      <w:r>
        <w:t xml:space="preserve"> belonged to the single-trade lineage. The dual-trade model handles sequencing</w:t>
      </w:r>
    </w:p>
    <w:p>
      <w:pPr>
        <w:spacing w:after="80"/>
      </w:pPr>
      <w:r>
        <w:t xml:space="preserve">  via T1→T2 state instead. Note the conceptual replacement so the old queue isn't bolted back on.</w:t>
      </w:r>
    </w:p>
    <w:p/>
    <w:p>
      <w:pPr>
        <w:pBdr>
          <w:bottom w:val="single" w:color="2A7C8F" w:sz="6" w:space="1"/>
        </w:pBdr>
        <w:spacing w:after="80"/>
      </w:pPr>
    </w:p>
    <w:p/>
    <w:p>
      <w:pPr>
        <w:pStyle w:val="Heading2"/>
      </w:pPr>
      <w:r>
        <w:t xml:space="preserve">Part 2 — Glossary</w:t>
      </w:r>
    </w:p>
    <w:p/>
    <w:p>
      <w:pPr>
        <w:spacing w:after="80"/>
      </w:pPr>
      <w:r>
        <w:rPr>
          <w:b/>
          <w:bCs/>
        </w:rPr>
        <w:t xml:space="preserve">A</w:t>
      </w:r>
      <w:r>
        <w:t xml:space="preserve"> — the swing high that starts a setup (confirmed pivot high).</w:t>
      </w:r>
    </w:p>
    <w:p/>
    <w:p>
      <w:pPr>
        <w:spacing w:after="80"/>
      </w:pPr>
      <w:r>
        <w:rPr>
          <w:b/>
          <w:bCs/>
        </w:rPr>
        <w:t xml:space="preserve">B</w:t>
      </w:r>
      <w:r>
        <w:t xml:space="preserve"> — the swing low that ends the down-swing (confirmed pivot low). May be re-anchored to a new</w:t>
      </w:r>
    </w:p>
    <w:p>
      <w:pPr>
        <w:spacing w:after="80"/>
      </w:pPr>
      <w:r>
        <w:t xml:space="preserve">lower low before activation.</w:t>
      </w:r>
    </w:p>
    <w:p/>
    <w:p>
      <w:pPr>
        <w:spacing w:after="80"/>
      </w:pPr>
      <w:r>
        <w:rPr>
          <w:b/>
          <w:bCs/>
        </w:rPr>
        <w:t xml:space="preserve">A→B down-swing</w:t>
      </w:r>
      <w:r>
        <w:t xml:space="preserve"> — a confirmed high followed by a confirmed low; the move the fibs are measured on.</w:t>
      </w:r>
    </w:p>
    <w:p/>
    <w:p>
      <w:pPr>
        <w:spacing w:after="80"/>
      </w:pPr>
      <w:r>
        <w:rPr>
          <w:b/>
          <w:bCs/>
        </w:rPr>
        <w:t xml:space="preserve">Golden zone</w:t>
      </w:r>
      <w:r>
        <w:t xml:space="preserve"> — the 0.618–0.68 retracement band. The hinge of the system: T1 take-profit and T2</w:t>
      </w:r>
    </w:p>
    <w:p>
      <w:pPr>
        <w:spacing w:after="80"/>
      </w:pPr>
      <w:r>
        <w:t xml:space="preserve">entry.</w:t>
      </w:r>
    </w:p>
    <w:p/>
    <w:p>
      <w:pPr>
        <w:spacing w:after="80"/>
      </w:pPr>
      <w:r>
        <w:rPr>
          <w:b/>
          <w:bCs/>
        </w:rPr>
        <w:t xml:space="preserve">Entry pocket</w:t>
      </w:r>
      <w:r>
        <w:t xml:space="preserve"> — the scanner's term for the entry band it watches (0.618–0.68 in the engine</w:t>
      </w:r>
    </w:p>
    <w:p>
      <w:pPr>
        <w:spacing w:after="80"/>
      </w:pPr>
      <w:r>
        <w:t xml:space="preserve">config); where a close determines Approaching / In Zone / Triggered.</w:t>
      </w:r>
    </w:p>
    <w:p/>
    <w:p>
      <w:pPr>
        <w:spacing w:after="80"/>
      </w:pPr>
      <w:r>
        <w:rPr>
          <w:b/>
          <w:bCs/>
        </w:rPr>
        <w:t xml:space="preserve">T1 / Trade 1</w:t>
      </w:r>
      <w:r>
        <w:t xml:space="preserve"> — the retracement-continuation leg: enter above 0.382, TP at 0.618, SL on close</w:t>
      </w:r>
    </w:p>
    <w:p>
      <w:pPr>
        <w:spacing w:after="80"/>
      </w:pPr>
      <w:r>
        <w:t xml:space="preserve">below 0.236.</w:t>
      </w:r>
    </w:p>
    <w:p/>
    <w:p>
      <w:pPr>
        <w:spacing w:after="80"/>
      </w:pPr>
      <w:r>
        <w:rPr>
          <w:b/>
          <w:bCs/>
        </w:rPr>
        <w:t xml:space="preserve">T2 / Trade 2</w:t>
      </w:r>
      <w:r>
        <w:t xml:space="preserve"> — the breakout leg: enter above 0.68 (sequentially after T1 TP, or jump-in on a</w:t>
      </w:r>
    </w:p>
    <w:p>
      <w:pPr>
        <w:spacing w:after="80"/>
      </w:pPr>
      <w:r>
        <w:t xml:space="preserve">gap), TP at 1.0, SL on close below 0.618.</w:t>
      </w:r>
    </w:p>
    <w:p/>
    <w:p>
      <w:pPr>
        <w:spacing w:after="80"/>
      </w:pPr>
      <w:r>
        <w:rPr>
          <w:b/>
          <w:bCs/>
        </w:rPr>
        <w:t xml:space="preserve">Sequential entry</w:t>
      </w:r>
      <w:r>
        <w:t xml:space="preserve"> — T2 entry that occurs after T1's TP has fired.</w:t>
      </w:r>
    </w:p>
    <w:p/>
    <w:p>
      <w:pPr>
        <w:spacing w:after="80"/>
      </w:pPr>
      <w:r>
        <w:rPr>
          <w:b/>
          <w:bCs/>
        </w:rPr>
        <w:t xml:space="preserve">Jump-in entry</w:t>
      </w:r>
      <w:r>
        <w:t xml:space="preserve"> — T2 entry taken when price gaps past T1 and closes above 0.68 without T1 having</w:t>
      </w:r>
    </w:p>
    <w:p>
      <w:pPr>
        <w:spacing w:after="80"/>
      </w:pPr>
      <w:r>
        <w:t xml:space="preserve">triggered.</w:t>
      </w:r>
    </w:p>
    <w:p/>
    <w:p>
      <w:pPr>
        <w:spacing w:after="80"/>
      </w:pPr>
      <w:r>
        <w:rPr>
          <w:b/>
          <w:bCs/>
        </w:rPr>
        <w:t xml:space="preserve">Macro swing</w:t>
      </w:r>
      <w:r>
        <w:t xml:space="preserve"> — the highest-A / lowest-B-since-A pair, drawn dimmed for context; non-signaling.</w:t>
      </w:r>
    </w:p>
    <w:p/>
    <w:p>
      <w:pPr>
        <w:spacing w:after="80"/>
      </w:pPr>
      <w:r>
        <w:rPr>
          <w:b/>
          <w:bCs/>
        </w:rPr>
        <w:t xml:space="preserve">ZigZag deviation %</w:t>
      </w:r>
      <w:r>
        <w:t xml:space="preserve"> — the indicator's sensitivity for what counts as a swing (default 35); higher</w:t>
      </w:r>
    </w:p>
    <w:p>
      <w:pPr>
        <w:spacing w:after="80"/>
      </w:pPr>
      <w:r>
        <w:t xml:space="preserve">= only bigger swings register.</w:t>
      </w:r>
    </w:p>
    <w:p/>
    <w:p>
      <w:pPr>
        <w:spacing w:after="80"/>
      </w:pPr>
      <w:r>
        <w:rPr>
          <w:b/>
          <w:bCs/>
        </w:rPr>
        <w:t xml:space="preserve">Pivot strength</w:t>
      </w:r>
      <w:r>
        <w:t xml:space="preserve"> — the scanner's left/right-bar window for confirming a pivot; set per timeframe.</w:t>
      </w:r>
    </w:p>
    <w:p/>
    <w:p>
      <w:pPr>
        <w:spacing w:after="80"/>
      </w:pPr>
      <w:r>
        <w:rPr>
          <w:b/>
          <w:bCs/>
        </w:rPr>
        <w:t xml:space="preserve">Dominant swing</w:t>
      </w:r>
      <w:r>
        <w:t xml:space="preserve"> — the scanner's choice of the highest pivot high and lowest pivot low within the</w:t>
      </w:r>
    </w:p>
    <w:p>
      <w:pPr>
        <w:spacing w:after="80"/>
      </w:pPr>
      <w:r>
        <w:t xml:space="preserve">lookback window.</w:t>
      </w:r>
    </w:p>
    <w:p/>
    <w:p>
      <w:pPr>
        <w:spacing w:after="80"/>
      </w:pPr>
      <w:r>
        <w:rPr>
          <w:b/>
          <w:bCs/>
        </w:rPr>
        <w:t xml:space="preserve">Signal (scanner)</w:t>
      </w:r>
      <w:r>
        <w:t xml:space="preserve"> — Triggered (close above pocket), In Zone (close inside), Approaching (close</w:t>
      </w:r>
    </w:p>
    <w:p>
      <w:pPr>
        <w:spacing w:after="80"/>
      </w:pPr>
      <w:r>
        <w:t xml:space="preserve">within 3% below).</w:t>
      </w:r>
    </w:p>
    <w:p/>
    <w:p>
      <w:pPr>
        <w:spacing w:after="80"/>
      </w:pPr>
      <w:r>
        <w:rPr>
          <w:b/>
          <w:bCs/>
        </w:rPr>
        <w:t xml:space="preserve">Spike</w:t>
      </w:r>
      <w:r>
        <w:t xml:space="preserve"> — scanner display flag for volume ≥ 1.8× the 20-bar average (distinct from the 1.2× entry</w:t>
      </w:r>
    </w:p>
    <w:p>
      <w:pPr>
        <w:spacing w:after="80"/>
      </w:pPr>
      <w:r>
        <w:t xml:space="preserve">filter).</w:t>
      </w:r>
    </w:p>
    <w:p/>
    <w:p>
      <w:pPr>
        <w:spacing w:after="80"/>
      </w:pPr>
      <w:r>
        <w:rPr>
          <w:b/>
          <w:bCs/>
        </w:rPr>
        <w:t xml:space="preserve">Since-trigger %</w:t>
      </w:r>
      <w:r>
        <w:t xml:space="preserve"> — how far price has moved since first crossing above the pocket.</w:t>
      </w:r>
    </w:p>
    <w:p/>
    <w:p>
      <w:pPr>
        <w:spacing w:after="80"/>
      </w:pPr>
      <w:r>
        <w:rPr>
          <w:b/>
          <w:bCs/>
        </w:rPr>
        <w:t xml:space="preserve">confMin</w:t>
      </w:r>
      <w:r>
        <w:t xml:space="preserve"> — confirmation age in minutes (confirmation bars × minutes per bar for that timeframe).</w:t>
      </w:r>
    </w:p>
    <w:p/>
    <w:p>
      <w:pPr>
        <w:spacing w:after="80"/>
      </w:pPr>
      <w:r>
        <w:rPr>
          <w:b/>
          <w:bCs/>
        </w:rPr>
        <w:t xml:space="preserve">results.json</w:t>
      </w:r>
      <w:r>
        <w:t xml:space="preserve"> — the data contract file the engine writes and the dashboard reads.</w:t>
      </w:r>
    </w:p>
    <w:p/>
    <w:p>
      <w:pPr>
        <w:spacing w:after="80"/>
      </w:pPr>
      <w:r>
        <w:rPr>
          <w:b/>
          <w:bCs/>
        </w:rPr>
        <w:t xml:space="preserve">KWM</w:t>
      </w:r>
      <w:r>
        <w:t xml:space="preserve"> — the name used for the Python engine + dashboard side of the system.</w:t>
      </w:r>
    </w:p>
    <w:p/>
    <w:p>
      <w:pPr>
        <w:spacing w:after="80"/>
      </w:pPr>
      <w:r>
        <w:rPr>
          <w:b/>
          <w:bCs/>
        </w:rPr>
        <w:t xml:space="preserve">Dhan</w:t>
      </w:r>
      <w:r>
        <w:t xml:space="preserve"> — the paid real-time NSE data provider (read-only candle access here).</w:t>
      </w:r>
    </w:p>
    <w:p/>
    <w:p>
      <w:pPr>
        <w:spacing w:after="80"/>
      </w:pPr>
      <w:r>
        <w:rPr>
          <w:b/>
          <w:bCs/>
        </w:rPr>
        <w:t xml:space="preserve">yfinance / Yahoo</w:t>
      </w:r>
      <w:r>
        <w:t xml:space="preserve"> — the free, ~15-min-delayed default data source.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2A7C8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1F4E5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2026-06-06T04:38:47.685Z</dcterms:created>
  <dcterms:modified xsi:type="dcterms:W3CDTF">2026-06-06T04:38:47.685Z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