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Policies and Benefits</w:t>
      </w:r>
    </w:p>
    <w:p>
      <w:pPr>
        <w:pStyle w:val="Heading1"/>
      </w:pPr>
      <w:r>
        <w:t>Time Off</w:t>
      </w:r>
    </w:p>
    <w:p>
      <w:pPr>
        <w:pStyle w:val="ListBullet"/>
      </w:pPr>
      <w:r>
        <w:t>- 20 days paid vacation annually</w:t>
      </w:r>
    </w:p>
    <w:p>
      <w:pPr>
        <w:pStyle w:val="ListBullet"/>
      </w:pPr>
      <w:r>
        <w:t>- 10 paid holidays per year</w:t>
      </w:r>
    </w:p>
    <w:p>
      <w:pPr>
        <w:pStyle w:val="ListBullet"/>
      </w:pPr>
      <w:r>
        <w:t>- 5 sick days annually</w:t>
      </w:r>
    </w:p>
    <w:p>
      <w:pPr>
        <w:pStyle w:val="ListBullet"/>
      </w:pPr>
      <w:r>
        <w:t>- Vacation accrued monthly (1.67 days)</w:t>
      </w:r>
    </w:p>
    <w:p>
      <w:pPr>
        <w:pStyle w:val="ListBullet"/>
      </w:pPr>
      <w:r>
        <w:t>- Minimum 2 weeks notice for vacation requests</w:t>
      </w:r>
    </w:p>
    <w:p>
      <w:pPr>
        <w:pStyle w:val="Heading1"/>
      </w:pPr>
      <w:r>
        <w:t>Parental Leave</w:t>
      </w:r>
    </w:p>
    <w:p>
      <w:pPr>
        <w:pStyle w:val="ListBullet"/>
      </w:pPr>
      <w:r>
        <w:t>- 12 weeks paid leave for primary caregivers</w:t>
      </w:r>
    </w:p>
    <w:p>
      <w:pPr>
        <w:pStyle w:val="ListBullet"/>
      </w:pPr>
      <w:r>
        <w:t>- 4 weeks paid leave for secondary caregivers</w:t>
      </w:r>
    </w:p>
    <w:p>
      <w:pPr>
        <w:pStyle w:val="ListBullet"/>
      </w:pPr>
      <w:r>
        <w:t>- Must be employed for 6 months to be eligible</w:t>
      </w:r>
    </w:p>
    <w:p>
      <w:pPr>
        <w:pStyle w:val="ListBullet"/>
      </w:pPr>
      <w:r>
        <w:t>- Additional unpaid leave available upon request</w:t>
      </w:r>
    </w:p>
    <w:p>
      <w:pPr>
        <w:pStyle w:val="ListBullet"/>
      </w:pPr>
      <w:r>
        <w:t>- Return-to-work transition program available</w:t>
      </w:r>
    </w:p>
    <w:p>
      <w:pPr>
        <w:pStyle w:val="Heading1"/>
      </w:pPr>
      <w:r>
        <w:t>Health Benefits</w:t>
      </w:r>
    </w:p>
    <w:p>
      <w:pPr>
        <w:pStyle w:val="ListBullet"/>
      </w:pPr>
      <w:r>
        <w:t>- Medical coverage starts first of month after hire</w:t>
      </w:r>
    </w:p>
    <w:p>
      <w:pPr>
        <w:pStyle w:val="ListBullet"/>
      </w:pPr>
      <w:r>
        <w:t>- Dental and vision coverage included</w:t>
      </w:r>
    </w:p>
    <w:p>
      <w:pPr>
        <w:pStyle w:val="ListBullet"/>
      </w:pPr>
      <w:r>
        <w:t>- 80% employer contribution to premiums</w:t>
      </w:r>
    </w:p>
    <w:p>
      <w:pPr>
        <w:pStyle w:val="ListBullet"/>
      </w:pPr>
      <w:r>
        <w:t>- FSA and HSA options available</w:t>
      </w:r>
    </w:p>
    <w:p>
      <w:pPr>
        <w:pStyle w:val="ListBullet"/>
      </w:pPr>
      <w:r>
        <w:t>- Annual enrollment period in November</w:t>
      </w:r>
    </w:p>
    <w:p>
      <w:pPr>
        <w:pStyle w:val="Heading1"/>
      </w:pPr>
      <w:r>
        <w:t>Remote Work</w:t>
      </w:r>
    </w:p>
    <w:p>
      <w:pPr>
        <w:pStyle w:val="ListBullet"/>
      </w:pPr>
      <w:r>
        <w:t>- Hybrid work model (3 days office/2 days remote)</w:t>
      </w:r>
    </w:p>
    <w:p>
      <w:pPr>
        <w:pStyle w:val="ListBullet"/>
      </w:pPr>
      <w:r>
        <w:t>- Remote work agreement required</w:t>
      </w:r>
    </w:p>
    <w:p>
      <w:pPr>
        <w:pStyle w:val="ListBullet"/>
      </w:pPr>
      <w:r>
        <w:t>- Must maintain core hours (10am-3pm)</w:t>
      </w:r>
    </w:p>
    <w:p>
      <w:pPr>
        <w:pStyle w:val="ListBullet"/>
      </w:pPr>
      <w:r>
        <w:t>- Equipment provided for home office</w:t>
      </w:r>
    </w:p>
    <w:p>
      <w:pPr>
        <w:pStyle w:val="ListBullet"/>
      </w:pPr>
      <w:r>
        <w:t>- Regular check-ins with manager required</w:t>
      </w:r>
    </w:p>
    <w:p>
      <w:pPr>
        <w:pStyle w:val="Heading1"/>
      </w:pPr>
      <w:r>
        <w:t>Performance Reviews</w:t>
      </w:r>
    </w:p>
    <w:p>
      <w:pPr>
        <w:pStyle w:val="ListBullet"/>
      </w:pPr>
      <w:r>
        <w:t>- Bi-annual reviews (June and December)</w:t>
      </w:r>
    </w:p>
    <w:p>
      <w:pPr>
        <w:pStyle w:val="ListBullet"/>
      </w:pPr>
      <w:r>
        <w:t>- Self-assessment required</w:t>
      </w:r>
    </w:p>
    <w:p>
      <w:pPr>
        <w:pStyle w:val="ListBullet"/>
      </w:pPr>
      <w:r>
        <w:t>- Peer feedback incorporated</w:t>
      </w:r>
    </w:p>
    <w:p>
      <w:pPr>
        <w:pStyle w:val="ListBullet"/>
      </w:pPr>
      <w:r>
        <w:t>- Goal-setting and development planning</w:t>
      </w:r>
    </w:p>
    <w:p>
      <w:pPr>
        <w:pStyle w:val="ListBullet"/>
      </w:pPr>
      <w:r>
        <w:t>- Merit increases based on performance</w:t>
      </w:r>
    </w:p>
    <w:p>
      <w:pPr>
        <w:pStyle w:val="Heading1"/>
      </w:pPr>
      <w:r>
        <w:t>Professional Development</w:t>
      </w:r>
    </w:p>
    <w:p>
      <w:pPr>
        <w:pStyle w:val="ListBullet"/>
      </w:pPr>
      <w:r>
        <w:t>- Annual learning budget: $2,000</w:t>
      </w:r>
    </w:p>
    <w:p>
      <w:pPr>
        <w:pStyle w:val="ListBullet"/>
      </w:pPr>
      <w:r>
        <w:t>- Conference attendance supported</w:t>
      </w:r>
    </w:p>
    <w:p>
      <w:pPr>
        <w:pStyle w:val="ListBullet"/>
      </w:pPr>
      <w:r>
        <w:t>- Internal training programs available</w:t>
      </w:r>
    </w:p>
    <w:p>
      <w:pPr>
        <w:pStyle w:val="ListBullet"/>
      </w:pPr>
      <w:r>
        <w:t>- Tuition reimbursement program</w:t>
      </w:r>
    </w:p>
    <w:p>
      <w:pPr>
        <w:pStyle w:val="ListBullet"/>
      </w:pPr>
      <w:r>
        <w:t>- Professional certification support</w:t>
      </w:r>
    </w:p>
    <w:p>
      <w:pPr>
        <w:pStyle w:val="Heading1"/>
      </w:pPr>
      <w:r>
        <w:t>Workplace Conduct</w:t>
      </w:r>
    </w:p>
    <w:p>
      <w:pPr>
        <w:pStyle w:val="ListBullet"/>
      </w:pPr>
      <w:r>
        <w:t>- Zero tolerance for harassment</w:t>
      </w:r>
    </w:p>
    <w:p>
      <w:pPr>
        <w:pStyle w:val="ListBullet"/>
      </w:pPr>
      <w:r>
        <w:t>- Equal opportunity employer</w:t>
      </w:r>
    </w:p>
    <w:p>
      <w:pPr>
        <w:pStyle w:val="ListBullet"/>
      </w:pPr>
      <w:r>
        <w:t>- Business casual dress code</w:t>
      </w:r>
    </w:p>
    <w:p>
      <w:pPr>
        <w:pStyle w:val="ListBullet"/>
      </w:pPr>
      <w:r>
        <w:t>- Confidentiality requirements</w:t>
      </w:r>
    </w:p>
    <w:p>
      <w:pPr>
        <w:pStyle w:val="ListBullet"/>
      </w:pPr>
      <w:r>
        <w:t>- Social media guidelines</w:t>
      </w:r>
    </w:p>
    <w:p>
      <w:pPr>
        <w:pStyle w:val="Heading1"/>
      </w:pPr>
      <w:r>
        <w:t>Contact Information</w:t>
      </w:r>
    </w:p>
    <w:p>
      <w:pPr>
        <w:pStyle w:val="ListBullet"/>
      </w:pPr>
      <w:r>
        <w:t>- HR Portal: hr.company.com</w:t>
      </w:r>
    </w:p>
    <w:p>
      <w:pPr>
        <w:pStyle w:val="ListBullet"/>
      </w:pPr>
      <w:r>
        <w:t>- HR Hotline: 1-800-HR-HELP</w:t>
      </w:r>
    </w:p>
    <w:p>
      <w:pPr>
        <w:pStyle w:val="ListBullet"/>
      </w:pPr>
      <w:r>
        <w:t>- Benefits Questions: benefits@company.com</w:t>
      </w:r>
    </w:p>
    <w:p>
      <w:pPr>
        <w:pStyle w:val="ListBullet"/>
      </w:pPr>
      <w:r>
        <w:t>- Anonymous Reporting: ethics@company.com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