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Lab 3: Component Modelling &amp; Architectural Pattern Selection</w:t>
      </w:r>
    </w:p>
    <w:p>
      <w:pPr>
        <w:jc w:val="center"/>
      </w:pPr>
      <w:r>
        <w:rPr>
          <w:b/>
          <w:sz w:val="22"/>
        </w:rPr>
        <w:t>Domain &amp; SSL Certificate Expiry Alert System</w:t>
      </w:r>
    </w:p>
    <w:p>
      <w:pPr>
        <w:spacing w:before="40" w:after="20"/>
      </w:pPr>
      <w:r>
        <w:rPr>
          <w:b/>
          <w:sz w:val="20"/>
        </w:rPr>
        <w:t>Architecture Selection</w:t>
      </w:r>
    </w:p>
    <w:p>
      <w:pPr>
        <w:spacing w:after="40" w:line="240" w:lineRule="auto"/>
      </w:pPr>
      <w:r>
        <w:rPr>
          <w:sz w:val="18"/>
        </w:rPr>
        <w:t>We chose Layered Architecture for the Domain &amp; SSL Certificate Expiry Alert System.</w:t>
      </w:r>
    </w:p>
    <w:p>
      <w:pPr>
        <w:spacing w:before="40" w:after="20"/>
      </w:pPr>
      <w:r>
        <w:rPr>
          <w:b/>
          <w:sz w:val="20"/>
        </w:rPr>
        <w:t>Architectural Style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t>Style</w:t>
            </w:r>
          </w:p>
        </w:tc>
        <w:tc>
          <w:tcPr>
            <w:tcW w:type="dxa" w:w="3552"/>
          </w:tcPr>
          <w:p>
            <w:r>
              <w:t>Structure / strengths</w:t>
            </w:r>
          </w:p>
        </w:tc>
        <w:tc>
          <w:tcPr>
            <w:tcW w:type="dxa" w:w="3552"/>
          </w:tcPr>
          <w:p>
            <w:r>
              <w:t>Consideration</w:t>
            </w:r>
          </w:p>
        </w:tc>
      </w:tr>
      <w:tr>
        <w:tc>
          <w:tcPr>
            <w:tcW w:type="dxa" w:w="3552"/>
          </w:tcPr>
          <w:p>
            <w:r>
              <w:t>Layered</w:t>
            </w:r>
          </w:p>
        </w:tc>
        <w:tc>
          <w:tcPr>
            <w:tcW w:type="dxa" w:w="3552"/>
          </w:tcPr>
          <w:p>
            <w:r>
              <w:t>Presentation, business/application, integration and data layers; clear separation of concerns.</w:t>
            </w:r>
          </w:p>
        </w:tc>
        <w:tc>
          <w:tcPr>
            <w:tcW w:type="dxa" w:w="3552"/>
          </w:tcPr>
          <w:p>
            <w:r>
              <w:t>Fits the dashboard, monitoring engine, scanners, alerts, audit trail and persistence flow.</w:t>
            </w:r>
          </w:p>
        </w:tc>
      </w:tr>
      <w:tr>
        <w:tc>
          <w:tcPr>
            <w:tcW w:type="dxa" w:w="3552"/>
          </w:tcPr>
          <w:p>
            <w:r>
              <w:t>Microservices</w:t>
            </w:r>
          </w:p>
        </w:tc>
        <w:tc>
          <w:tcPr>
            <w:tcW w:type="dxa" w:w="3552"/>
          </w:tcPr>
          <w:p>
            <w:r>
              <w:t>Independently deployable services with independent scaling and fault isolation.</w:t>
            </w:r>
          </w:p>
        </w:tc>
        <w:tc>
          <w:tcPr>
            <w:tcW w:type="dxa" w:w="3552"/>
          </w:tcPr>
          <w:p>
            <w:r>
              <w:t>Could isolate scanners, but adds distributed-service and operational complexity.</w:t>
            </w:r>
          </w:p>
        </w:tc>
      </w:tr>
      <w:tr>
        <w:tc>
          <w:tcPr>
            <w:tcW w:type="dxa" w:w="3552"/>
          </w:tcPr>
          <w:p>
            <w:r>
              <w:t>Client-Server</w:t>
            </w:r>
          </w:p>
        </w:tc>
        <w:tc>
          <w:tcPr>
            <w:tcW w:type="dxa" w:w="3552"/>
          </w:tcPr>
          <w:p>
            <w:r>
              <w:t>Central server with multiple clients and centralized control.</w:t>
            </w:r>
          </w:p>
        </w:tc>
        <w:tc>
          <w:tcPr>
            <w:tcW w:type="dxa" w:w="3552"/>
          </w:tcPr>
          <w:p>
            <w:r>
              <w:t>Simple model, but concentrates the monitoring workflow in the central server.</w:t>
            </w:r>
          </w:p>
        </w:tc>
      </w:tr>
    </w:tbl>
    <w:p>
      <w:pPr>
        <w:spacing w:before="40" w:after="20"/>
      </w:pPr>
      <w:r>
        <w:rPr>
          <w:b/>
          <w:sz w:val="20"/>
        </w:rPr>
        <w:t>Two Scenario-Related Reasons</w:t>
      </w:r>
    </w:p>
    <w:p>
      <w:pPr>
        <w:spacing w:after="40" w:line="240" w:lineRule="auto"/>
      </w:pPr>
      <w:r>
        <w:rPr>
          <w:sz w:val="18"/>
        </w:rPr>
        <w:t>1. The architecture separates the dashboard and access control from asset management, scheduled monitoring, TLS/WHOIS scanning, alert escalation, notification and auditing. These boundaries map directly to FR-001 through FR-005.</w:t>
      </w:r>
    </w:p>
    <w:p>
      <w:pPr>
        <w:spacing w:after="40" w:line="240" w:lineRule="auto"/>
      </w:pPr>
      <w:r>
        <w:rPr>
          <w:sz w:val="18"/>
        </w:rPr>
        <w:t>2. The TLS/WHOIS scanning functionality is isolated behind a component interface, so the Monitoring Engine can coordinate daily checks without exposing scanner implementation details. This supports modularity and the high-volume monitoring requirement.</w:t>
      </w:r>
    </w:p>
    <w:p>
      <w:pPr>
        <w:spacing w:before="40" w:after="20"/>
      </w:pPr>
      <w:r>
        <w:rPr>
          <w:b/>
          <w:sz w:val="20"/>
        </w:rPr>
        <w:t>Security Advantage</w:t>
      </w:r>
    </w:p>
    <w:p>
      <w:pPr>
        <w:spacing w:after="40" w:line="240" w:lineRule="auto"/>
      </w:pPr>
      <w:r>
        <w:rPr>
          <w:sz w:val="18"/>
        </w:rPr>
        <w:t>Authentication and role-based authorization can be enforced before administrative functions are used. The presentation layer does not directly access stored data; the Data Access Layer controls persistence, supporting NFR-002's requirement for secure protection of stored configuration and alert communication.</w:t>
      </w:r>
    </w:p>
    <w:p>
      <w:pPr>
        <w:spacing w:before="40" w:after="20"/>
      </w:pPr>
      <w:r>
        <w:rPr>
          <w:b/>
          <w:sz w:val="20"/>
        </w:rPr>
        <w:t>Performance Benefit</w:t>
      </w:r>
    </w:p>
    <w:p>
      <w:pPr>
        <w:spacing w:after="40" w:line="240" w:lineRule="auto"/>
      </w:pPr>
      <w:r>
        <w:rPr>
          <w:sz w:val="18"/>
        </w:rPr>
        <w:t>The Monitoring Engine and scanner component isolate the monitoring workload from dashboard interactions. This makes it possible to optimize the scan path separately and supports NFR-001, which requires 1,000 domains and SSL endpoints to be scanned in under 3 minutes.</w:t>
      </w:r>
    </w:p>
    <w:p>
      <w:pPr>
        <w:spacing w:before="40" w:after="20"/>
      </w:pPr>
      <w:r>
        <w:rPr>
          <w:b/>
          <w:sz w:val="20"/>
        </w:rPr>
        <w:t>Components and Interfaces</w:t>
      </w:r>
    </w:p>
    <w:p>
      <w:pPr>
        <w:spacing w:after="40" w:line="240" w:lineRule="auto"/>
      </w:pPr>
      <w:r>
        <w:rPr>
          <w:sz w:val="18"/>
        </w:rPr>
        <w:t>Components: Monitoring Dashboard; Authentication &amp; Authorization; Monitored Asset Manager; Monitoring Engine; Alert &amp; Escalation Manager; Audit Trail Service; Notification Service; TLS/WHOIS Scanner; Alert Channels; External Targets; Data Access Layer; Monitoring Database.</w:t>
      </w:r>
    </w:p>
    <w:p>
      <w:pPr>
        <w:spacing w:after="40" w:line="240" w:lineRule="auto"/>
      </w:pPr>
      <w:r>
        <w:rPr>
          <w:sz w:val="18"/>
        </w:rPr>
        <w:t>Key interfaces: Auth API, Asset API, Alert View, Audit View, TLS/WHOIS API, Alert API, Notify API, Audit API and DB Query. Solid assembly connectors use provided/required UML interfaces; dashed arrows indicate dependencies and external integrations.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