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32"/>
          <w:szCs w:val="32"/>
        </w:rPr>
        <w:t xml:space="preserve">Formal Verification of Decentralized Satellite Swarms for Safe Orbital Maneuvering: An Empirical Study</w:t>
      </w:r>
    </w:p>
    <w:p>
      <w:pPr>
        <w:spacing w:after="60"/>
        <w:jc w:val="center"/>
      </w:pPr>
      <w:r>
        <w:rPr>
          <w:rFonts w:ascii="Times New Roman" w:cs="Times New Roman" w:eastAsia="Times New Roman" w:hAnsi="Times New Roman"/>
          <w:sz w:val="21"/>
          <w:szCs w:val="21"/>
        </w:rPr>
        <w:t xml:space="preserve">[Author names withheld for review]</w:t>
      </w:r>
    </w:p>
    <w:p>
      <w:pPr>
        <w:spacing w:after="200"/>
        <w:jc w:val="center"/>
      </w:pPr>
      <w:r>
        <w:rPr>
          <w:rFonts w:ascii="Times New Roman" w:cs="Times New Roman" w:eastAsia="Times New Roman" w:hAnsi="Times New Roman"/>
          <w:i/>
          <w:iCs/>
          <w:sz w:val="20"/>
          <w:szCs w:val="20"/>
        </w:rPr>
        <w:t xml:space="preserve">Submitted to IEEE Transactions on Aerospace and Electronic Systems</w:t>
      </w:r>
    </w:p>
    <w:p>
      <w:pPr>
        <w:pStyle w:val="Heading2"/>
        <w:spacing w:after="60" w:before="160"/>
      </w:pPr>
      <w:r>
        <w:rPr>
          <w:rFonts w:ascii="Times New Roman" w:cs="Times New Roman" w:eastAsia="Times New Roman" w:hAnsi="Times New Roman"/>
          <w:b/>
          <w:bCs/>
          <w:sz w:val="21"/>
          <w:szCs w:val="21"/>
        </w:rPr>
        <w:t xml:space="preserve">Abstract</w:t>
      </w:r>
    </w:p>
    <w:p>
      <w:pPr>
        <w:spacing w:after="120"/>
        <w:ind w:left="520" w:right="520"/>
        <w:jc w:val="both"/>
      </w:pPr>
      <w:r>
        <w:rPr>
          <w:rFonts w:ascii="Times New Roman" w:cs="Times New Roman" w:eastAsia="Times New Roman" w:hAnsi="Times New Roman"/>
          <w:sz w:val="19"/>
          <w:szCs w:val="19"/>
        </w:rPr>
        <w:t xml:space="preserve">The proliferation of megaconstellations in low Earth orbit has compressed conjunction geometry to a degree that elevates the Kessler debris cascade from a long-horizon concern to an operationally immediate one. This paper presents and empirically evaluates a formal verification framework for decentralized autonomous satellite swarms performing real-time collision avoidance without ground-loop intervention. Each spacecraft's maneuver decision is subjected to an interval-arithmetic safety oracle derived from the Hill–Clohessy–Wiltshire relative motion equations, and the distributed coordination protocol is verified against four Linear Temporal Logic properties covering mutual exclusion of simultaneous burns, separation invariance during execution, bounded maneuver latency, and protocol termination. Three experimental scenarios spanning 6 to 24 satellites at 550 km altitude were evaluated over 200 Monte Carlo trials each, with Byzantine fault injection and inter-satellite link dropouts up to 30%. Across all scenarios, the protocol achieves 0% P1 (mutex) violation, 0% P3 (liveness timeout) violation, and 0% P4 (termination) violation, with mean safety-certificate latency below 256 ms—three orders of magnitude faster than the ground-loop centralized baseline. Compositional decomposition reduces the model-checking state space from 5.96×10¹⁶ to 3.75×10³ for N=24, making on-orbit incremental verification tractable on flight-representative ARM Cortex-A53 processors.</w:t>
      </w:r>
    </w:p>
    <w:p>
      <w:pPr>
        <w:spacing w:after="240"/>
        <w:ind w:left="520" w:right="520"/>
      </w:pPr>
      <w:r>
        <w:rPr>
          <w:rFonts w:ascii="Times New Roman" w:cs="Times New Roman" w:eastAsia="Times New Roman" w:hAnsi="Times New Roman"/>
          <w:b/>
          <w:bCs/>
          <w:sz w:val="19"/>
          <w:szCs w:val="19"/>
        </w:rPr>
        <w:t xml:space="preserve">Index Terms: </w:t>
      </w:r>
      <w:r>
        <w:rPr>
          <w:rFonts w:ascii="Times New Roman" w:cs="Times New Roman" w:eastAsia="Times New Roman" w:hAnsi="Times New Roman"/>
          <w:sz w:val="19"/>
          <w:szCs w:val="19"/>
        </w:rPr>
        <w:t xml:space="preserve">Astrodynamics constraints, collision avoidance verification, decentralized swarm autonomy, formal safety proof, Linear Temporal Logic.</w:t>
      </w:r>
    </w:p>
    <w:p>
      <w:pPr>
        <w:pStyle w:val="Heading1"/>
      </w:pPr>
      <w:r>
        <w:rPr>
          <w:rFonts w:ascii="Times New Roman" w:cs="Times New Roman" w:eastAsia="Times New Roman" w:hAnsi="Times New Roman"/>
          <w:b/>
          <w:bCs/>
          <w:sz w:val="24"/>
          <w:szCs w:val="24"/>
        </w:rPr>
        <w:t xml:space="preserve">I. INTRODUCTION</w:t>
      </w:r>
    </w:p>
    <w:p>
      <w:pPr>
        <w:spacing w:after="100"/>
        <w:jc w:val="both"/>
      </w:pPr>
      <w:r>
        <w:rPr>
          <w:rFonts w:ascii="Times New Roman" w:cs="Times New Roman" w:eastAsia="Times New Roman" w:hAnsi="Times New Roman"/>
          <w:sz w:val="20"/>
          <w:szCs w:val="20"/>
        </w:rPr>
        <w:t xml:space="preserve">The orbital debris problem is, at its root, a feedback instability: each collision produces fragments that increase the probability of subsequent collisions independently of any future launch activity. Kessler and Cour-Palais formalized this runaway dynamic in 1978, but its relevance was largely theoretical for three decades. ESA's 2024 Space Environment Report documents a tracked debris population exceeding one million objects above 1 cm in low Earth orbit. SpaceX alone executed more than 50,000 avoidance maneuvers across the Starlink fleet in the first half of 2024. A single unmitigated high-energy collision at these altitudes could seed hundreds of secondary conjunctions within weeks.</w:t>
      </w:r>
    </w:p>
    <w:p>
      <w:pPr>
        <w:spacing w:after="100"/>
        <w:jc w:val="both"/>
      </w:pPr>
      <w:r>
        <w:rPr>
          <w:rFonts w:ascii="Times New Roman" w:cs="Times New Roman" w:eastAsia="Times New Roman" w:hAnsi="Times New Roman"/>
          <w:sz w:val="20"/>
          <w:szCs w:val="20"/>
        </w:rPr>
        <w:t xml:space="preserve">This paper addresses a critical deficiency in current collision avoidance architectures: the absence of mathematically rigorous safety guarantees in decentralized autonomous satellite swarms, where each spacecraft must make real-time maneuver decisions without relying on a ground-in-the-loop authority. We propose and empirically validate a formal verification framework encoding swarm collision avoidance as Linear Temporal Logic formulae over transition systems whose state variables are drawn directly from the Hill–Clohessy–Wiltshire relative motion equations.</w:t>
      </w:r>
    </w:p>
    <w:p>
      <w:pPr>
        <w:pStyle w:val="Heading2"/>
      </w:pPr>
      <w:r>
        <w:rPr>
          <w:rFonts w:ascii="Times New Roman" w:cs="Times New Roman" w:eastAsia="Times New Roman" w:hAnsi="Times New Roman"/>
          <w:b/>
          <w:bCs/>
          <w:i/>
          <w:iCs/>
          <w:sz w:val="22"/>
          <w:szCs w:val="22"/>
        </w:rPr>
        <w:t xml:space="preserve">A. Research Gap</w:t>
      </w:r>
    </w:p>
    <w:p>
      <w:pPr>
        <w:spacing w:after="100"/>
        <w:jc w:val="both"/>
      </w:pPr>
      <w:r>
        <w:rPr>
          <w:rFonts w:ascii="Times New Roman" w:cs="Times New Roman" w:eastAsia="Times New Roman" w:hAnsi="Times New Roman"/>
          <w:sz w:val="20"/>
          <w:szCs w:val="20"/>
        </w:rPr>
        <w:t xml:space="preserve">The fundamental gap is the absence of a composed formal framework that simultaneously: (1) models continuous orbital dynamics in a form amenable to symbolic reasoning, (2) encodes the distributed decision protocol as a transition system whose safety properties can be model-checked, and (3) connects these two layers by treating astrodynamic constraints as first-class logical formulae rather than simulation-evaluated heuristics. Reinforcement-learning swarm controllers are black-box with respect to formal analysis; model predictive control is computationally prohibitive for swarms above 5–6 agents on embedded processors; Byzantine-resilient consensus protocols have not been composed with physically grounded astrodynamic constraints.</w:t>
      </w:r>
    </w:p>
    <w:p>
      <w:pPr>
        <w:spacing w:after="60"/>
      </w:pPr>
      <w:r>
        <w:t xml:space="preserve"/>
      </w:r>
    </w:p>
    <w:p>
      <w:pPr>
        <w:pStyle w:val="Heading1"/>
      </w:pPr>
      <w:r>
        <w:rPr>
          <w:rFonts w:ascii="Times New Roman" w:cs="Times New Roman" w:eastAsia="Times New Roman" w:hAnsi="Times New Roman"/>
          <w:b/>
          <w:bCs/>
          <w:sz w:val="24"/>
          <w:szCs w:val="24"/>
        </w:rPr>
        <w:t xml:space="preserve">II. METHODOLOGY</w:t>
      </w:r>
    </w:p>
    <w:p>
      <w:pPr>
        <w:pStyle w:val="Heading2"/>
      </w:pPr>
      <w:r>
        <w:rPr>
          <w:rFonts w:ascii="Times New Roman" w:cs="Times New Roman" w:eastAsia="Times New Roman" w:hAnsi="Times New Roman"/>
          <w:b/>
          <w:bCs/>
          <w:i/>
          <w:iCs/>
          <w:sz w:val="22"/>
          <w:szCs w:val="22"/>
        </w:rPr>
        <w:t xml:space="preserve">A. Hill–Clohessy–Wiltshire Dynamics</w:t>
      </w:r>
    </w:p>
    <w:p>
      <w:pPr>
        <w:spacing w:after="100"/>
        <w:jc w:val="both"/>
      </w:pPr>
      <w:r>
        <w:rPr>
          <w:rFonts w:ascii="Times New Roman" w:cs="Times New Roman" w:eastAsia="Times New Roman" w:hAnsi="Times New Roman"/>
          <w:sz w:val="20"/>
          <w:szCs w:val="20"/>
        </w:rPr>
        <w:t xml:space="preserve">Relative spacecraft motion in the Hill (LVLH) frame satisfies the HCW equations with mean motion n = √(μ/a³) = 1.0948 mrad/s at 550 km. The closed-form state transition matrix Φ(t) = eᴪat enables symbolic safety constraint encoding: the safety predicate Safe(i,j,t) ≜ ‖pᵢ(t) − pⱼ(t)‖₂ ≥ r_min + Δr (r_min = 500 m, Δr = 150 m) is evaluated by an interval-arithmetic oracle across 300 uniformly-spaced time samples over T_burn = 600 s, returning UNSAT (certificate) or SAT (counterexample).</w:t>
      </w:r>
    </w:p>
    <w:p>
      <w:pPr>
        <w:pStyle w:val="Heading2"/>
      </w:pPr>
      <w:r>
        <w:rPr>
          <w:rFonts w:ascii="Times New Roman" w:cs="Times New Roman" w:eastAsia="Times New Roman" w:hAnsi="Times New Roman"/>
          <w:b/>
          <w:bCs/>
          <w:i/>
          <w:iCs/>
          <w:sz w:val="22"/>
          <w:szCs w:val="22"/>
        </w:rPr>
        <w:t xml:space="preserve">B. Distributed Protocol and LTL Properties</w:t>
      </w:r>
    </w:p>
    <w:p>
      <w:pPr>
        <w:spacing w:after="100"/>
        <w:jc w:val="both"/>
      </w:pPr>
      <w:r>
        <w:rPr>
          <w:rFonts w:ascii="Times New Roman" w:cs="Times New Roman" w:eastAsia="Times New Roman" w:hAnsi="Times New Roman"/>
          <w:sz w:val="20"/>
          <w:szCs w:val="20"/>
        </w:rPr>
        <w:t xml:space="preserve">Each satellite is modeled as a labeled transition system with five states: FREE_DRIFT, COMPUTING, MANEUVER_COMMITTED, EXECUTING, POST_BURN_COAST. Byzantine fault tolerance follows a PBFT variant with quorum ⌈(N+f+1)/2⌉. Four LTL properties are monitored: P1 (mutual exclusion), P2 (separation invariance), P3 (bounded liveness, T_max = 30 s), and P4 (termination). Three experimental scenarios are evaluated over 200 Monte Carlo trials each with 30 m / 0.05 m/s (1σ) orbital determination errors.</w:t>
      </w:r>
    </w:p>
    <w:p>
      <w:pPr>
        <w:spacing w:after="60"/>
      </w:pPr>
      <w:r>
        <w:t xml:space="preserve"/>
      </w:r>
    </w:p>
    <w:p>
      <w:pPr>
        <w:pStyle w:val="Heading1"/>
      </w:pPr>
      <w:r>
        <w:rPr>
          <w:rFonts w:ascii="Times New Roman" w:cs="Times New Roman" w:eastAsia="Times New Roman" w:hAnsi="Times New Roman"/>
          <w:b/>
          <w:bCs/>
          <w:sz w:val="24"/>
          <w:szCs w:val="24"/>
        </w:rPr>
        <w:t xml:space="preserve">III. RESULTS</w:t>
      </w:r>
    </w:p>
    <w:p>
      <w:pPr>
        <w:pStyle w:val="Heading2"/>
      </w:pPr>
      <w:r>
        <w:rPr>
          <w:rFonts w:ascii="Times New Roman" w:cs="Times New Roman" w:eastAsia="Times New Roman" w:hAnsi="Times New Roman"/>
          <w:b/>
          <w:bCs/>
          <w:i/>
          <w:iCs/>
          <w:sz w:val="22"/>
          <w:szCs w:val="22"/>
        </w:rPr>
        <w:t xml:space="preserve">A. HCW Trajectories</w:t>
      </w:r>
    </w:p>
    <w:p>
      <w:pPr>
        <w:spacing w:after="40" w:before="8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333625"/>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7"/>
          <w:szCs w:val="17"/>
        </w:rPr>
        <w:t xml:space="preserve">Fig. 1. PCO natural motion trajectories (N=24, ρ=8 km, 550 km LEO). (a) Radial–along-track. (b) Along-track–cross-track. (c) Pairwise separation over one orbit. Free-drift geometries cross below the 650 m verified bound, confirming the necessity of active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680"/>
        <w:gridCol w:w="800"/>
        <w:gridCol w:w="800"/>
        <w:gridCol w:w="800"/>
        <w:gridCol w:w="700"/>
        <w:gridCol w:w="900"/>
      </w:tblGrid>
      <w:tr>
        <w:trPr>
          <w:tblHeader/>
        </w:trPr>
        <w:tc>
          <w:tcPr>
            <w:tcW w:type="dxa" w:w="68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N</w:t>
            </w:r>
          </w:p>
        </w:tc>
        <w:tc>
          <w:tcPr>
            <w:tcW w:type="dxa" w:w="68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ρ [km]</w:t>
            </w:r>
          </w:p>
        </w:tc>
        <w:tc>
          <w:tcPr>
            <w:tcW w:type="dxa" w:w="8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Min Sep [m]</w:t>
            </w:r>
          </w:p>
        </w:tc>
        <w:tc>
          <w:tcPr>
            <w:tcW w:type="dxa" w:w="8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TCA [min]</w:t>
            </w:r>
          </w:p>
        </w:tc>
        <w:tc>
          <w:tcPr>
            <w:tcW w:type="dxa" w:w="8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Conj. Pairs</w:t>
            </w:r>
          </w:p>
        </w:tc>
        <w:tc>
          <w:tcPr>
            <w:tcW w:type="dxa" w:w="7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Safe?</w:t>
            </w:r>
          </w:p>
        </w:tc>
        <w:tc>
          <w:tcPr>
            <w:tcW w:type="dxa" w:w="9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Drift [mm/s]</w:t>
            </w:r>
          </w:p>
        </w:tc>
      </w:tr>
      <w:tr>
        <w:tc>
          <w:tcPr>
            <w:tcW w:type="dxa" w:w="68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8</w:t>
            </w:r>
          </w:p>
        </w:tc>
        <w:tc>
          <w:tcPr>
            <w:tcW w:type="dxa" w:w="68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3</w:t>
            </w:r>
          </w:p>
        </w:tc>
        <w:tc>
          <w:tcPr>
            <w:tcW w:type="dxa" w:w="8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309.7</w:t>
            </w:r>
          </w:p>
        </w:tc>
        <w:tc>
          <w:tcPr>
            <w:tcW w:type="dxa" w:w="8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1.15</w:t>
            </w:r>
          </w:p>
        </w:tc>
        <w:tc>
          <w:tcPr>
            <w:tcW w:type="dxa" w:w="8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14</w:t>
            </w:r>
          </w:p>
        </w:tc>
        <w:tc>
          <w:tcPr>
            <w:tcW w:type="dxa" w:w="7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NO</w:t>
            </w:r>
          </w:p>
        </w:tc>
        <w:tc>
          <w:tcPr>
            <w:tcW w:type="dxa" w:w="9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0.0000</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12</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153.7</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7.85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22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0.0000</w:t>
            </w:r>
          </w:p>
        </w:tc>
      </w:tr>
      <w:tr>
        <w:tc>
          <w:tcPr>
            <w:tcW w:type="dxa" w:w="68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16</w:t>
            </w:r>
          </w:p>
        </w:tc>
        <w:tc>
          <w:tcPr>
            <w:tcW w:type="dxa" w:w="68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8</w:t>
            </w:r>
          </w:p>
        </w:tc>
        <w:tc>
          <w:tcPr>
            <w:tcW w:type="dxa" w:w="8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135.3</w:t>
            </w:r>
          </w:p>
        </w:tc>
        <w:tc>
          <w:tcPr>
            <w:tcW w:type="dxa" w:w="8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5.84</w:t>
            </w:r>
          </w:p>
        </w:tc>
        <w:tc>
          <w:tcPr>
            <w:tcW w:type="dxa" w:w="8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23</w:t>
            </w:r>
          </w:p>
        </w:tc>
        <w:tc>
          <w:tcPr>
            <w:tcW w:type="dxa" w:w="7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NO</w:t>
            </w:r>
          </w:p>
        </w:tc>
        <w:tc>
          <w:tcPr>
            <w:tcW w:type="dxa" w:w="9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0.0000</w:t>
            </w:r>
          </w:p>
        </w:tc>
      </w:tr>
      <w:tr>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24</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79.8</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7.89</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49</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0.0000</w:t>
            </w:r>
          </w:p>
        </w:tc>
      </w:tr>
    </w:tbl>
    <w:p>
      <w:pPr>
        <w:spacing w:after="120"/>
      </w:pPr>
      <w:r>
        <w:rPr>
          <w:rFonts w:ascii="Times New Roman" w:cs="Times New Roman" w:eastAsia="Times New Roman" w:hAnsi="Times New Roman"/>
          <w:i/>
          <w:iCs/>
          <w:color w:val="444444"/>
          <w:sz w:val="16"/>
          <w:szCs w:val="16"/>
        </w:rPr>
        <w:t xml:space="preserve">Table 1. HCW reachable set characterization. All configurations unsafely close under free drift.</w:t>
      </w:r>
    </w:p>
    <w:p>
      <w:pPr>
        <w:spacing w:after="60"/>
      </w:pPr>
      <w:r>
        <w:t xml:space="preserve"/>
      </w:r>
    </w:p>
    <w:p>
      <w:pPr>
        <w:pStyle w:val="Heading2"/>
      </w:pPr>
      <w:r>
        <w:rPr>
          <w:rFonts w:ascii="Times New Roman" w:cs="Times New Roman" w:eastAsia="Times New Roman" w:hAnsi="Times New Roman"/>
          <w:b/>
          <w:bCs/>
          <w:i/>
          <w:iCs/>
          <w:sz w:val="22"/>
          <w:szCs w:val="22"/>
        </w:rPr>
        <w:t xml:space="preserve">B. Safety Certificate Oracle</w:t>
      </w:r>
    </w:p>
    <w:p>
      <w:pPr>
        <w:spacing w:after="40" w:before="8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33625"/>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7"/>
          <w:szCs w:val="17"/>
        </w:rPr>
        <w:t xml:space="preserve">Fig. 2. Oracle timing (a) and coverage (b) vs swarm size N. Per-pair cost ~10 ms is O(1) in N. Coverage ≥92% across all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900"/>
        <w:gridCol w:w="900"/>
        <w:gridCol w:w="900"/>
        <w:gridCol w:w="1000"/>
      </w:tblGrid>
      <w:tr>
        <w:trPr>
          <w:tblHeader/>
        </w:trPr>
        <w:tc>
          <w:tcPr>
            <w:tcW w:type="dxa" w:w="7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N</w:t>
            </w:r>
          </w:p>
        </w:tc>
        <w:tc>
          <w:tcPr>
            <w:tcW w:type="dxa" w:w="7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Pairs</w:t>
            </w:r>
          </w:p>
        </w:tc>
        <w:tc>
          <w:tcPr>
            <w:tcW w:type="dxa" w:w="9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Mean [ms]</w:t>
            </w:r>
          </w:p>
        </w:tc>
        <w:tc>
          <w:tcPr>
            <w:tcW w:type="dxa" w:w="9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P95 [ms]</w:t>
            </w:r>
          </w:p>
        </w:tc>
        <w:tc>
          <w:tcPr>
            <w:tcW w:type="dxa" w:w="9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Max [ms]</w:t>
            </w:r>
          </w:p>
        </w:tc>
        <w:tc>
          <w:tcPr>
            <w:tcW w:type="dxa" w:w="10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Certified [%]</w:t>
            </w:r>
          </w:p>
        </w:tc>
      </w:tr>
      <w:tr>
        <w:tc>
          <w:tcPr>
            <w:tcW w:type="dxa" w:w="7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6</w:t>
            </w:r>
          </w:p>
        </w:tc>
        <w:tc>
          <w:tcPr>
            <w:tcW w:type="dxa" w:w="7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15</w:t>
            </w:r>
          </w:p>
        </w:tc>
        <w:tc>
          <w:tcPr>
            <w:tcW w:type="dxa" w:w="9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10.79</w:t>
            </w:r>
          </w:p>
        </w:tc>
        <w:tc>
          <w:tcPr>
            <w:tcW w:type="dxa" w:w="9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12.47</w:t>
            </w:r>
          </w:p>
        </w:tc>
        <w:tc>
          <w:tcPr>
            <w:tcW w:type="dxa" w:w="9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12.53</w:t>
            </w:r>
          </w:p>
        </w:tc>
        <w:tc>
          <w:tcPr>
            <w:tcW w:type="dxa" w:w="10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93.3</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28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10.44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11.03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12.64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100.0</w:t>
            </w:r>
          </w:p>
        </w:tc>
      </w:tr>
      <w:tr>
        <w:tc>
          <w:tcPr>
            <w:tcW w:type="dxa" w:w="7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12</w:t>
            </w:r>
          </w:p>
        </w:tc>
        <w:tc>
          <w:tcPr>
            <w:tcW w:type="dxa" w:w="7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66</w:t>
            </w:r>
          </w:p>
        </w:tc>
        <w:tc>
          <w:tcPr>
            <w:tcW w:type="dxa" w:w="9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10.20</w:t>
            </w:r>
          </w:p>
        </w:tc>
        <w:tc>
          <w:tcPr>
            <w:tcW w:type="dxa" w:w="9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10.58</w:t>
            </w:r>
          </w:p>
        </w:tc>
        <w:tc>
          <w:tcPr>
            <w:tcW w:type="dxa" w:w="9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10.96</w:t>
            </w:r>
          </w:p>
        </w:tc>
        <w:tc>
          <w:tcPr>
            <w:tcW w:type="dxa" w:w="10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98.5</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10.45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11.07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12.08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100.0</w:t>
            </w:r>
          </w:p>
        </w:tc>
      </w:tr>
      <w:tr>
        <w:tc>
          <w:tcPr>
            <w:tcW w:type="dxa" w:w="7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24</w:t>
            </w:r>
          </w:p>
        </w:tc>
        <w:tc>
          <w:tcPr>
            <w:tcW w:type="dxa" w:w="7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276</w:t>
            </w:r>
          </w:p>
        </w:tc>
        <w:tc>
          <w:tcPr>
            <w:tcW w:type="dxa" w:w="9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10.47</w:t>
            </w:r>
          </w:p>
        </w:tc>
        <w:tc>
          <w:tcPr>
            <w:tcW w:type="dxa" w:w="9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11.00</w:t>
            </w:r>
          </w:p>
        </w:tc>
        <w:tc>
          <w:tcPr>
            <w:tcW w:type="dxa" w:w="9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13.06</w:t>
            </w:r>
          </w:p>
        </w:tc>
        <w:tc>
          <w:tcPr>
            <w:tcW w:type="dxa" w:w="10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97.5</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496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10.51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11.60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13.25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98.6</w:t>
            </w:r>
          </w:p>
        </w:tc>
      </w:tr>
    </w:tbl>
    <w:p>
      <w:pPr>
        <w:spacing w:after="120"/>
      </w:pPr>
      <w:r>
        <w:rPr>
          <w:rFonts w:ascii="Times New Roman" w:cs="Times New Roman" w:eastAsia="Times New Roman" w:hAnsi="Times New Roman"/>
          <w:i/>
          <w:iCs/>
          <w:color w:val="444444"/>
          <w:sz w:val="16"/>
          <w:szCs w:val="16"/>
        </w:rPr>
        <w:t xml:space="preserve">Table 2. Oracle timing is O(1) in N; coverage ≥93% across all tested swarm sizes.</w:t>
      </w:r>
    </w:p>
    <w:p>
      <w:pPr>
        <w:spacing w:after="60"/>
      </w:pPr>
      <w:r>
        <w:t xml:space="preserve"/>
      </w:r>
    </w:p>
    <w:p>
      <w:pPr>
        <w:pStyle w:val="Heading2"/>
      </w:pPr>
      <w:r>
        <w:rPr>
          <w:rFonts w:ascii="Times New Roman" w:cs="Times New Roman" w:eastAsia="Times New Roman" w:hAnsi="Times New Roman"/>
          <w:b/>
          <w:bCs/>
          <w:i/>
          <w:iCs/>
          <w:sz w:val="22"/>
          <w:szCs w:val="22"/>
        </w:rPr>
        <w:t xml:space="preserve">C. LTL Verification Results</w:t>
      </w:r>
    </w:p>
    <w:p>
      <w:pPr>
        <w:spacing w:after="40" w:before="8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333625"/>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7"/>
          <w:szCs w:val="17"/>
        </w:rPr>
        <w:t xml:space="preserve">Fig. 3. LTL property P1–P4 violation rates (200 trials each). P1, P3, P4 = 0% in all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50"/>
        <w:gridCol w:w="400"/>
        <w:gridCol w:w="500"/>
        <w:gridCol w:w="550"/>
        <w:gridCol w:w="650"/>
        <w:gridCol w:w="550"/>
        <w:gridCol w:w="550"/>
        <w:gridCol w:w="550"/>
        <w:gridCol w:w="600"/>
      </w:tblGrid>
      <w:tr>
        <w:trPr>
          <w:tblHeader/>
        </w:trPr>
        <w:tc>
          <w:tcPr>
            <w:tcW w:type="dxa" w:w="108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Scenario</w:t>
            </w:r>
          </w:p>
        </w:tc>
        <w:tc>
          <w:tcPr>
            <w:tcW w:type="dxa" w:w="45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N</w:t>
            </w:r>
          </w:p>
        </w:tc>
        <w:tc>
          <w:tcPr>
            <w:tcW w:type="dxa" w:w="4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f</w:t>
            </w:r>
          </w:p>
        </w:tc>
        <w:tc>
          <w:tcPr>
            <w:tcW w:type="dxa" w:w="5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Drop</w:t>
            </w:r>
          </w:p>
        </w:tc>
        <w:tc>
          <w:tcPr>
            <w:tcW w:type="dxa" w:w="55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P1 [%]</w:t>
            </w:r>
          </w:p>
        </w:tc>
        <w:tc>
          <w:tcPr>
            <w:tcW w:type="dxa" w:w="65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P2 [%]</w:t>
            </w:r>
          </w:p>
        </w:tc>
        <w:tc>
          <w:tcPr>
            <w:tcW w:type="dxa" w:w="55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P3 [%]</w:t>
            </w:r>
          </w:p>
        </w:tc>
        <w:tc>
          <w:tcPr>
            <w:tcW w:type="dxa" w:w="55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P4 [%]</w:t>
            </w:r>
          </w:p>
        </w:tc>
        <w:tc>
          <w:tcPr>
            <w:tcW w:type="dxa" w:w="55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Cov [%]</w:t>
            </w:r>
          </w:p>
        </w:tc>
        <w:tc>
          <w:tcPr>
            <w:tcW w:type="dxa" w:w="6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Lat [ms]</w:t>
            </w:r>
          </w:p>
        </w:tc>
      </w:tr>
      <w:tr>
        <w:tc>
          <w:tcPr>
            <w:tcW w:type="dxa" w:w="108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S1: PCO-24</w:t>
            </w:r>
          </w:p>
        </w:tc>
        <w:tc>
          <w:tcPr>
            <w:tcW w:type="dxa" w:w="4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24</w:t>
            </w:r>
          </w:p>
        </w:tc>
        <w:tc>
          <w:tcPr>
            <w:tcW w:type="dxa" w:w="4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w:t>
            </w:r>
          </w:p>
        </w:tc>
        <w:tc>
          <w:tcPr>
            <w:tcW w:type="dxa" w:w="5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w:t>
            </w:r>
          </w:p>
        </w:tc>
        <w:tc>
          <w:tcPr>
            <w:tcW w:type="dxa" w:w="5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6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90.00†</w:t>
            </w:r>
          </w:p>
        </w:tc>
        <w:tc>
          <w:tcPr>
            <w:tcW w:type="dxa" w:w="5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5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5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92.81</w:t>
            </w:r>
          </w:p>
        </w:tc>
        <w:tc>
          <w:tcPr>
            <w:tcW w:type="dxa" w:w="6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255.8</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S2: String-12</w:t>
            </w:r>
          </w:p>
        </w:tc>
        <w:tc>
          <w:tcPr>
            <w:tcW w:type="dxa" w:w="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12</w:t>
            </w:r>
          </w:p>
        </w:tc>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5%</w:t>
            </w:r>
          </w:p>
        </w:tc>
        <w:tc>
          <w:tcPr>
            <w:tcW w:type="dxa" w:w="5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6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5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5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5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100.00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118.2</w:t>
            </w:r>
          </w:p>
        </w:tc>
      </w:tr>
      <w:tr>
        <w:tc>
          <w:tcPr>
            <w:tcW w:type="dxa" w:w="108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S3: Tetra-6</w:t>
            </w:r>
          </w:p>
        </w:tc>
        <w:tc>
          <w:tcPr>
            <w:tcW w:type="dxa" w:w="4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6</w:t>
            </w:r>
          </w:p>
        </w:tc>
        <w:tc>
          <w:tcPr>
            <w:tcW w:type="dxa" w:w="4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w:t>
            </w:r>
          </w:p>
        </w:tc>
        <w:tc>
          <w:tcPr>
            <w:tcW w:type="dxa" w:w="5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30%</w:t>
            </w:r>
          </w:p>
        </w:tc>
        <w:tc>
          <w:tcPr>
            <w:tcW w:type="dxa" w:w="5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6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68.00†</w:t>
            </w:r>
          </w:p>
        </w:tc>
        <w:tc>
          <w:tcPr>
            <w:tcW w:type="dxa" w:w="5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5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5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88.10</w:t>
            </w:r>
          </w:p>
        </w:tc>
        <w:tc>
          <w:tcPr>
            <w:tcW w:type="dxa" w:w="6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51.4</w:t>
            </w:r>
          </w:p>
        </w:tc>
      </w:tr>
    </w:tbl>
    <w:p>
      <w:pPr>
        <w:spacing w:after="120"/>
      </w:pPr>
      <w:r>
        <w:rPr>
          <w:rFonts w:ascii="Times New Roman" w:cs="Times New Roman" w:eastAsia="Times New Roman" w:hAnsi="Times New Roman"/>
          <w:i/>
          <w:iCs/>
          <w:color w:val="444444"/>
          <w:sz w:val="16"/>
          <w:szCs w:val="16"/>
        </w:rPr>
        <w:t xml:space="preserve">† P2 = free-drift geometry risk, not execution-phase failure. Protocol withholds certificate in these cases.</w:t>
      </w:r>
    </w:p>
    <w:p>
      <w:pPr>
        <w:spacing w:after="60"/>
      </w:pPr>
      <w:r>
        <w:t xml:space="preserve"/>
      </w:r>
    </w:p>
    <w:p>
      <w:pPr>
        <w:pStyle w:val="Heading2"/>
      </w:pPr>
      <w:r>
        <w:rPr>
          <w:rFonts w:ascii="Times New Roman" w:cs="Times New Roman" w:eastAsia="Times New Roman" w:hAnsi="Times New Roman"/>
          <w:b/>
          <w:bCs/>
          <w:i/>
          <w:iCs/>
          <w:sz w:val="22"/>
          <w:szCs w:val="22"/>
        </w:rPr>
        <w:t xml:space="preserve">D. Baseline Comparison</w:t>
      </w:r>
    </w:p>
    <w:p>
      <w:pPr>
        <w:spacing w:after="40" w:before="8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333625"/>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7"/>
          <w:szCs w:val="17"/>
        </w:rPr>
        <w:t xml:space="preserve">Fig. 4. Proposed vs baselines (N=24). (a) Formal coverage. (b) Decision latency. (c) P1 violation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50"/>
        <w:gridCol w:w="1050"/>
        <w:gridCol w:w="800"/>
        <w:gridCol w:w="1100"/>
      </w:tblGrid>
      <w:tr>
        <w:trPr>
          <w:tblHeader/>
        </w:trPr>
        <w:tc>
          <w:tcPr>
            <w:tcW w:type="dxa" w:w="22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Method</w:t>
            </w:r>
          </w:p>
        </w:tc>
        <w:tc>
          <w:tcPr>
            <w:tcW w:type="dxa" w:w="105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Coverage [%]</w:t>
            </w:r>
          </w:p>
        </w:tc>
        <w:tc>
          <w:tcPr>
            <w:tcW w:type="dxa" w:w="105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Latency [ms]</w:t>
            </w:r>
          </w:p>
        </w:tc>
        <w:tc>
          <w:tcPr>
            <w:tcW w:type="dxa" w:w="8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P1 [%]</w:t>
            </w:r>
          </w:p>
        </w:tc>
        <w:tc>
          <w:tcPr>
            <w:tcW w:type="dxa" w:w="11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P_c (orbit)</w:t>
            </w:r>
          </w:p>
        </w:tc>
      </w:tr>
      <w:tr>
        <w:tc>
          <w:tcPr>
            <w:tcW w:type="dxa" w:w="22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Proposed (LTL+SMT)</w:t>
            </w:r>
          </w:p>
        </w:tc>
        <w:tc>
          <w:tcPr>
            <w:tcW w:type="dxa" w:w="10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92.8</w:t>
            </w:r>
          </w:p>
        </w:tc>
        <w:tc>
          <w:tcPr>
            <w:tcW w:type="dxa" w:w="10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255.8</w:t>
            </w:r>
          </w:p>
        </w:tc>
        <w:tc>
          <w:tcPr>
            <w:tcW w:type="dxa" w:w="8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11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≤1.0×10⁻⁹</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Centralized MPC</w:t>
            </w:r>
          </w:p>
        </w:tc>
        <w:tc>
          <w:tcPr>
            <w:tcW w:type="dxa" w:w="1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100.0</w:t>
            </w:r>
          </w:p>
        </w:tc>
        <w:tc>
          <w:tcPr>
            <w:tcW w:type="dxa" w:w="10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600,000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≤1.0×10⁻⁹</w:t>
            </w:r>
          </w:p>
        </w:tc>
      </w:tr>
      <w:tr>
        <w:tc>
          <w:tcPr>
            <w:tcW w:type="dxa" w:w="22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Distributed RL (PPO)</w:t>
            </w:r>
          </w:p>
        </w:tc>
        <w:tc>
          <w:tcPr>
            <w:tcW w:type="dxa" w:w="10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w:t>
            </w:r>
          </w:p>
        </w:tc>
        <w:tc>
          <w:tcPr>
            <w:tcW w:type="dxa" w:w="10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850</w:t>
            </w:r>
          </w:p>
        </w:tc>
        <w:tc>
          <w:tcPr>
            <w:tcW w:type="dxa" w:w="8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4.30</w:t>
            </w:r>
          </w:p>
        </w:tc>
        <w:tc>
          <w:tcPr>
            <w:tcW w:type="dxa" w:w="11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3.1×10⁻³</w:t>
            </w:r>
          </w:p>
        </w:tc>
      </w:tr>
    </w:tbl>
    <w:p>
      <w:pPr>
        <w:spacing w:after="120"/>
      </w:pPr>
      <w:r>
        <w:rPr>
          <w:rFonts w:ascii="Times New Roman" w:cs="Times New Roman" w:eastAsia="Times New Roman" w:hAnsi="Times New Roman"/>
          <w:i/>
          <w:iCs/>
          <w:color w:val="444444"/>
          <w:sz w:val="16"/>
          <w:szCs w:val="16"/>
        </w:rPr>
        <w:t xml:space="preserve">Table 4. MPC formally correct but ground-loop latency (600 s) disqualifies it for autonomous swarms. RL achieves no formal coverage and 4.30% P1 violations.</w:t>
      </w:r>
    </w:p>
    <w:p>
      <w:pPr>
        <w:spacing w:after="60"/>
      </w:pPr>
      <w:r>
        <w:t xml:space="preserve"/>
      </w:r>
    </w:p>
    <w:p>
      <w:pPr>
        <w:pStyle w:val="Heading2"/>
      </w:pPr>
      <w:r>
        <w:rPr>
          <w:rFonts w:ascii="Times New Roman" w:cs="Times New Roman" w:eastAsia="Times New Roman" w:hAnsi="Times New Roman"/>
          <w:b/>
          <w:bCs/>
          <w:i/>
          <w:iCs/>
          <w:sz w:val="22"/>
          <w:szCs w:val="22"/>
        </w:rPr>
        <w:t xml:space="preserve">E. Scalability</w:t>
      </w:r>
    </w:p>
    <w:p>
      <w:pPr>
        <w:spacing w:after="40" w:before="8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333625"/>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7"/>
          <w:szCs w:val="17"/>
        </w:rPr>
        <w:t xml:space="preserve">Fig. 5. State space reduction: monolithic vs compositional (k=4). For N=24, reduction &gt;10¹³.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50"/>
        <w:gridCol w:w="1350"/>
        <w:gridCol w:w="1350"/>
        <w:gridCol w:w="1350"/>
      </w:tblGrid>
      <w:tr>
        <w:trPr>
          <w:tblHeader/>
        </w:trPr>
        <w:tc>
          <w:tcPr>
            <w:tcW w:type="dxa" w:w="7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N</w:t>
            </w:r>
          </w:p>
        </w:tc>
        <w:tc>
          <w:tcPr>
            <w:tcW w:type="dxa" w:w="135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Monolithic |S|ᵏ</w:t>
            </w:r>
          </w:p>
        </w:tc>
        <w:tc>
          <w:tcPr>
            <w:tcW w:type="dxa" w:w="135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Compositional</w:t>
            </w:r>
          </w:p>
        </w:tc>
        <w:tc>
          <w:tcPr>
            <w:tcW w:type="dxa" w:w="135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Reduction</w:t>
            </w:r>
          </w:p>
        </w:tc>
        <w:tc>
          <w:tcPr>
            <w:tcW w:type="dxa" w:w="135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BDD Nodes</w:t>
            </w:r>
          </w:p>
        </w:tc>
      </w:tr>
      <w:tr>
        <w:tc>
          <w:tcPr>
            <w:tcW w:type="dxa" w:w="7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6</w:t>
            </w:r>
          </w:p>
        </w:tc>
        <w:tc>
          <w:tcPr>
            <w:tcW w:type="dxa" w:w="13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1.56×10⁴</w:t>
            </w:r>
          </w:p>
        </w:tc>
        <w:tc>
          <w:tcPr>
            <w:tcW w:type="dxa" w:w="13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1.25×10³</w:t>
            </w:r>
          </w:p>
        </w:tc>
        <w:tc>
          <w:tcPr>
            <w:tcW w:type="dxa" w:w="13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1.25×10¹</w:t>
            </w:r>
          </w:p>
        </w:tc>
        <w:tc>
          <w:tcPr>
            <w:tcW w:type="dxa" w:w="13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4.3×10⁴</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12</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2.44×10⁸</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1.88×10³</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1.30×10⁵</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1.7×10⁵</w:t>
            </w:r>
          </w:p>
        </w:tc>
      </w:tr>
      <w:tr>
        <w:tc>
          <w:tcPr>
            <w:tcW w:type="dxa" w:w="7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24</w:t>
            </w:r>
          </w:p>
        </w:tc>
        <w:tc>
          <w:tcPr>
            <w:tcW w:type="dxa" w:w="13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5.96×10¹⁶</w:t>
            </w:r>
          </w:p>
        </w:tc>
        <w:tc>
          <w:tcPr>
            <w:tcW w:type="dxa" w:w="13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3.75×10³</w:t>
            </w:r>
          </w:p>
        </w:tc>
        <w:tc>
          <w:tcPr>
            <w:tcW w:type="dxa" w:w="13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1.59×10¹³</w:t>
            </w:r>
          </w:p>
        </w:tc>
        <w:tc>
          <w:tcPr>
            <w:tcW w:type="dxa" w:w="135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6.9×10⁵</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32</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2.33×10²²</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5.00×10³</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4.66×10¹⁸</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1.2×10⁶</w:t>
            </w:r>
          </w:p>
        </w:tc>
      </w:tr>
    </w:tbl>
    <w:p>
      <w:pPr>
        <w:spacing w:after="120"/>
      </w:pPr>
      <w:r>
        <w:rPr>
          <w:rFonts w:ascii="Times New Roman" w:cs="Times New Roman" w:eastAsia="Times New Roman" w:hAnsi="Times New Roman"/>
          <w:i/>
          <w:iCs/>
          <w:color w:val="444444"/>
          <w:sz w:val="16"/>
          <w:szCs w:val="16"/>
        </w:rPr>
        <w:t xml:space="preserve">Table 5. Compositional count grows linearly; monolithic exponentially. Tractable (≤10⁴) for all N≤48.</w:t>
      </w:r>
    </w:p>
    <w:p>
      <w:pPr>
        <w:spacing w:after="60"/>
      </w:pPr>
      <w:r>
        <w:t xml:space="preserve"/>
      </w:r>
    </w:p>
    <w:p>
      <w:pPr>
        <w:pStyle w:val="Heading1"/>
      </w:pPr>
      <w:r>
        <w:rPr>
          <w:rFonts w:ascii="Times New Roman" w:cs="Times New Roman" w:eastAsia="Times New Roman" w:hAnsi="Times New Roman"/>
          <w:b/>
          <w:bCs/>
          <w:sz w:val="24"/>
          <w:szCs w:val="24"/>
        </w:rPr>
        <w:t xml:space="preserve">IV. SENSITIVITY ANALYSIS</w:t>
      </w:r>
    </w:p>
    <w:p>
      <w:pPr>
        <w:spacing w:after="40" w:before="8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333625"/>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7"/>
          <w:szCs w:val="17"/>
        </w:rPr>
        <w:t xml:space="preserve">Fig. 7. Sensitivity analysis. (a) Coverage and latency vs r_min. (b) Coverage vs OD noise. (c) Coverage and violations vs link dropout.</w:t>
      </w:r>
    </w:p>
    <w:p>
      <w:pPr>
        <w:spacing w:after="40" w:before="8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333625"/>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7"/>
          <w:szCs w:val="17"/>
        </w:rPr>
        <w:t xml:space="preserve">Fig. 8. (a) Oracle convergence: 100% agreement from n=25 samples. (b) Altitude sensitivity.</w:t>
      </w:r>
    </w:p>
    <w:p>
      <w:pPr>
        <w:spacing w:after="40" w:before="8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333625"/>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7"/>
          <w:szCs w:val="17"/>
        </w:rPr>
        <w:t xml:space="preserve">Fig. 10. Byzantine analysis (N=12): P1 and P3 remain 0% for all f ∈ {0,1,2,3}.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000"/>
        <w:gridCol w:w="1000"/>
        <w:gridCol w:w="800"/>
        <w:gridCol w:w="800"/>
      </w:tblGrid>
      <w:tr>
        <w:trPr>
          <w:tblHeader/>
        </w:trPr>
        <w:tc>
          <w:tcPr>
            <w:tcW w:type="dxa" w:w="7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f</w:t>
            </w:r>
          </w:p>
        </w:tc>
        <w:tc>
          <w:tcPr>
            <w:tcW w:type="dxa" w:w="9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Quorum</w:t>
            </w:r>
          </w:p>
        </w:tc>
        <w:tc>
          <w:tcPr>
            <w:tcW w:type="dxa" w:w="10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Coverage [%]</w:t>
            </w:r>
          </w:p>
        </w:tc>
        <w:tc>
          <w:tcPr>
            <w:tcW w:type="dxa" w:w="10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Latency [ms]</w:t>
            </w:r>
          </w:p>
        </w:tc>
        <w:tc>
          <w:tcPr>
            <w:tcW w:type="dxa" w:w="8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P1 [%]</w:t>
            </w:r>
          </w:p>
        </w:tc>
        <w:tc>
          <w:tcPr>
            <w:tcW w:type="dxa" w:w="800"/>
            <w:tcBorders>
              <w:top w:val="single" w:color="CCCCCC" w:sz="1"/>
              <w:left w:val="single" w:color="CCCCCC" w:sz="1"/>
              <w:bottom w:val="single" w:color="CCCCCC" w:sz="1"/>
              <w:right w:val="single" w:color="CCCCCC" w:sz="1"/>
            </w:tcBorders>
            <w:shd w:fill="2C4A7C"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7"/>
                <w:szCs w:val="17"/>
              </w:rPr>
              <w:t xml:space="preserve">P3 [%]</w:t>
            </w:r>
          </w:p>
        </w:tc>
      </w:tr>
      <w:tr>
        <w:tc>
          <w:tcPr>
            <w:tcW w:type="dxa" w:w="7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w:t>
            </w:r>
          </w:p>
        </w:tc>
        <w:tc>
          <w:tcPr>
            <w:tcW w:type="dxa" w:w="9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7/12</w:t>
            </w:r>
          </w:p>
        </w:tc>
        <w:tc>
          <w:tcPr>
            <w:tcW w:type="dxa" w:w="10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97.71</w:t>
            </w:r>
          </w:p>
        </w:tc>
        <w:tc>
          <w:tcPr>
            <w:tcW w:type="dxa" w:w="10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39.4</w:t>
            </w:r>
          </w:p>
        </w:tc>
        <w:tc>
          <w:tcPr>
            <w:tcW w:type="dxa" w:w="8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8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7/12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97.50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36.9</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r>
      <w:tr>
        <w:tc>
          <w:tcPr>
            <w:tcW w:type="dxa" w:w="7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2</w:t>
            </w:r>
          </w:p>
        </w:tc>
        <w:tc>
          <w:tcPr>
            <w:tcW w:type="dxa" w:w="9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8/12</w:t>
            </w:r>
          </w:p>
        </w:tc>
        <w:tc>
          <w:tcPr>
            <w:tcW w:type="dxa" w:w="10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97.25</w:t>
            </w:r>
          </w:p>
        </w:tc>
        <w:tc>
          <w:tcPr>
            <w:tcW w:type="dxa" w:w="10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33.4</w:t>
            </w:r>
          </w:p>
        </w:tc>
        <w:tc>
          <w:tcPr>
            <w:tcW w:type="dxa" w:w="8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800"/>
            <w:tcBorders>
              <w:top w:val="single" w:color="CCCCCC" w:sz="1"/>
              <w:left w:val="single" w:color="CCCCCC" w:sz="1"/>
              <w:bottom w:val="single" w:color="CCCCCC" w:sz="1"/>
              <w:right w:val="single" w:color="CCCCCC" w:sz="1"/>
            </w:tcBorders>
            <w:shd w:fill="EEF3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8/12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98.06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30.8</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7"/>
                <w:szCs w:val="17"/>
              </w:rPr>
              <w:t xml:space="preserve">0.00</w:t>
            </w:r>
          </w:p>
        </w:tc>
      </w:tr>
    </w:tbl>
    <w:p>
      <w:pPr>
        <w:spacing w:after="120"/>
      </w:pPr>
      <w:r>
        <w:rPr>
          <w:rFonts w:ascii="Times New Roman" w:cs="Times New Roman" w:eastAsia="Times New Roman" w:hAnsi="Times New Roman"/>
          <w:i/>
          <w:iCs/>
          <w:color w:val="444444"/>
          <w:sz w:val="16"/>
          <w:szCs w:val="16"/>
        </w:rPr>
        <w:t xml:space="preserve">Table 8. Protocol LTL correctness confirmed for all f &lt; N/3 = 4.</w:t>
      </w:r>
    </w:p>
    <w:p>
      <w:pPr>
        <w:spacing w:after="60"/>
      </w:pPr>
      <w:r>
        <w:t xml:space="preserve"/>
      </w:r>
    </w:p>
    <w:p>
      <w:pPr>
        <w:pStyle w:val="Heading1"/>
      </w:pPr>
      <w:r>
        <w:rPr>
          <w:rFonts w:ascii="Times New Roman" w:cs="Times New Roman" w:eastAsia="Times New Roman" w:hAnsi="Times New Roman"/>
          <w:b/>
          <w:bCs/>
          <w:sz w:val="24"/>
          <w:szCs w:val="24"/>
        </w:rPr>
        <w:t xml:space="preserve">V. STATISTICAL ANALYSIS</w:t>
      </w:r>
    </w:p>
    <w:p>
      <w:pPr>
        <w:spacing w:after="40" w:before="8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333625"/>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7"/>
          <w:szCs w:val="17"/>
        </w:rPr>
        <w:t xml:space="preserve">Fig. 9. Latency distributions (150 trials each). KS D=1.000, p=2.13×10⁻⁸⁹; Mann-Whitney U p=1.08×10⁻⁵⁰.</w:t>
      </w:r>
    </w:p>
    <w:p>
      <w:pPr>
        <w:spacing w:after="100"/>
        <w:jc w:val="both"/>
      </w:pPr>
      <w:r>
        <w:rPr>
          <w:rFonts w:ascii="Times New Roman" w:cs="Times New Roman" w:eastAsia="Times New Roman" w:hAnsi="Times New Roman"/>
          <w:sz w:val="20"/>
          <w:szCs w:val="20"/>
        </w:rPr>
        <w:t xml:space="preserve">The proposed framework achieves mean latency 81.7 ms (95% bootstrap CI: [80.9, 82.7] ms, σ = 5.7 ms) vs 865.6 ms for the RL proxy (σ = 127.0 ms). Both the two-sample Kolmogorov-Smirnov test (D = 1.000, p = 2.13×10⁻⁸⁹) and Mann-Whitney U test (p = 1.08×10⁻⁵⁰) reject the null hypothesis of identical distributions at any conventional significance level. The narrow proposed-framework distribution (σ = 5.7 ms) enables tighter liveness bound specification without sacrificing P3 compliance.</w:t>
      </w:r>
    </w:p>
    <w:p>
      <w:pPr>
        <w:spacing w:after="60"/>
      </w:pPr>
      <w:r>
        <w:t xml:space="preserve"/>
      </w:r>
    </w:p>
    <w:p>
      <w:pPr>
        <w:pStyle w:val="Heading1"/>
      </w:pPr>
      <w:r>
        <w:rPr>
          <w:rFonts w:ascii="Times New Roman" w:cs="Times New Roman" w:eastAsia="Times New Roman" w:hAnsi="Times New Roman"/>
          <w:b/>
          <w:bCs/>
          <w:sz w:val="24"/>
          <w:szCs w:val="24"/>
        </w:rPr>
        <w:t xml:space="preserve">VI. CONCLUSION</w:t>
      </w:r>
    </w:p>
    <w:p>
      <w:pPr>
        <w:spacing w:after="100"/>
        <w:jc w:val="both"/>
      </w:pPr>
      <w:r>
        <w:rPr>
          <w:rFonts w:ascii="Times New Roman" w:cs="Times New Roman" w:eastAsia="Times New Roman" w:hAnsi="Times New Roman"/>
          <w:sz w:val="20"/>
          <w:szCs w:val="20"/>
        </w:rPr>
        <w:t xml:space="preserve">This paper has presented and empirically evaluated a formal verification framework for decentralized autonomous satellite swarms at 550 km LEO. Across 600 Monte Carlo trials spanning three formation geometries, Byzantine fault scenarios, and link dropouts up to 30%, the protocol achieves 0% violation on LTL properties P1, P3, and P4 while maintaining sub-300 ms decision latency. Compositional decomposition reduces the model-checking state space from 5.96×10¹⁶ to 3.75×10³ for N=24. Against the distributed RL baseline, the framework eliminates a 4.30% mutual-exclusion violation rate and achieves 2,346× lower latency than the centralized ground-loop baseline while delivering a machine-checkable safety certificate for every authorized maneuver.</w:t>
      </w:r>
    </w:p>
    <w:p>
      <w:pPr>
        <w:spacing w:after="60"/>
      </w:pPr>
      <w:r>
        <w:t xml:space="preserve"/>
      </w:r>
    </w:p>
    <w:p>
      <w:pPr>
        <w:pStyle w:val="Heading1"/>
      </w:pPr>
      <w:r>
        <w:rPr>
          <w:rFonts w:ascii="Times New Roman" w:cs="Times New Roman" w:eastAsia="Times New Roman" w:hAnsi="Times New Roman"/>
          <w:b/>
          <w:bCs/>
          <w:sz w:val="24"/>
          <w:szCs w:val="24"/>
        </w:rPr>
        <w:t xml:space="preserve">REFERENCES</w:t>
      </w:r>
    </w:p>
    <w:p>
      <w:pPr>
        <w:spacing w:after="60"/>
        <w:ind w:left="360" w:hanging="360"/>
      </w:pPr>
      <w:r>
        <w:rPr>
          <w:rFonts w:ascii="Times New Roman" w:cs="Times New Roman" w:eastAsia="Times New Roman" w:hAnsi="Times New Roman"/>
          <w:sz w:val="17"/>
          <w:szCs w:val="17"/>
        </w:rPr>
        <w:t xml:space="preserve">[1] D. J. Kessler and B. G. Cour-Palais, "Collision frequency of artificial satellites," J. Geophys. Res., vol. 83, pp. 2637–2646, 1978.</w:t>
      </w:r>
    </w:p>
    <w:p>
      <w:pPr>
        <w:spacing w:after="60"/>
        <w:ind w:left="360" w:hanging="360"/>
      </w:pPr>
      <w:r>
        <w:rPr>
          <w:rFonts w:ascii="Times New Roman" w:cs="Times New Roman" w:eastAsia="Times New Roman" w:hAnsi="Times New Roman"/>
          <w:sz w:val="17"/>
          <w:szCs w:val="17"/>
        </w:rPr>
        <w:t xml:space="preserve">[2] European Space Agency, Space Environment Report 2024, ESA Space Debris Office, 2024.</w:t>
      </w:r>
    </w:p>
    <w:p>
      <w:pPr>
        <w:spacing w:after="60"/>
        <w:ind w:left="360" w:hanging="360"/>
      </w:pPr>
      <w:r>
        <w:rPr>
          <w:rFonts w:ascii="Times New Roman" w:cs="Times New Roman" w:eastAsia="Times New Roman" w:hAnsi="Times New Roman"/>
          <w:sz w:val="17"/>
          <w:szCs w:val="17"/>
        </w:rPr>
        <w:t xml:space="preserve">[3] J. Sun et al., "Distributed cooperative control with collision avoidance for spacecraft swarm reconfiguration via RL," Acta Astronautica, vol. 205, pp. 95–109, 2023.</w:t>
      </w:r>
    </w:p>
    <w:p>
      <w:pPr>
        <w:spacing w:after="60"/>
        <w:ind w:left="360" w:hanging="360"/>
      </w:pPr>
      <w:r>
        <w:rPr>
          <w:rFonts w:ascii="Times New Roman" w:cs="Times New Roman" w:eastAsia="Times New Roman" w:hAnsi="Times New Roman"/>
          <w:sz w:val="17"/>
          <w:szCs w:val="17"/>
        </w:rPr>
        <w:t xml:space="preserve">[4] Y. Meng et al., "Obstacle-avoidance distributed RL optimal control for spacecraft cluster flight," IEEE Trans. Aerosp. Electron. Syst., 2024.</w:t>
      </w:r>
    </w:p>
    <w:p>
      <w:pPr>
        <w:spacing w:after="60"/>
        <w:ind w:left="360" w:hanging="360"/>
      </w:pPr>
      <w:r>
        <w:rPr>
          <w:rFonts w:ascii="Times New Roman" w:cs="Times New Roman" w:eastAsia="Times New Roman" w:hAnsi="Times New Roman"/>
          <w:sz w:val="17"/>
          <w:szCs w:val="17"/>
        </w:rPr>
        <w:t xml:space="preserve">[5] W. H. Clohessy and R. S. Wiltshire, "Terminal guidance system for satellite rendezvous," J. Aerosp. Sci., vol. 27, no. 9, 1960.</w:t>
      </w:r>
    </w:p>
    <w:p>
      <w:pPr>
        <w:spacing w:after="60"/>
        <w:ind w:left="360" w:hanging="360"/>
      </w:pPr>
      <w:r>
        <w:rPr>
          <w:rFonts w:ascii="Times New Roman" w:cs="Times New Roman" w:eastAsia="Times New Roman" w:hAnsi="Times New Roman"/>
          <w:sz w:val="17"/>
          <w:szCs w:val="17"/>
        </w:rPr>
        <w:t xml:space="preserve">[6] L. de Moura and N. Bjorner, "Z3: An efficient SMT solver," Proc. TACAS 2008, LNCS vol. 4963, pp. 337–340.</w:t>
      </w:r>
    </w:p>
    <w:p>
      <w:pPr>
        <w:spacing w:after="60"/>
        <w:ind w:left="360" w:hanging="360"/>
      </w:pPr>
      <w:r>
        <w:rPr>
          <w:rFonts w:ascii="Times New Roman" w:cs="Times New Roman" w:eastAsia="Times New Roman" w:hAnsi="Times New Roman"/>
          <w:sz w:val="17"/>
          <w:szCs w:val="17"/>
        </w:rPr>
        <w:t xml:space="preserve">[7] M. Kwiatkowska, G. Norman, and D. Parker, "PRISM 4.0," Proc. CAV 2011, LNCS vol. 6806, pp. 585–591.</w:t>
      </w:r>
    </w:p>
    <w:p>
      <w:pPr>
        <w:spacing w:after="60"/>
        <w:ind w:left="360" w:hanging="360"/>
      </w:pPr>
      <w:r>
        <w:rPr>
          <w:rFonts w:ascii="Times New Roman" w:cs="Times New Roman" w:eastAsia="Times New Roman" w:hAnsi="Times New Roman"/>
          <w:sz w:val="17"/>
          <w:szCs w:val="17"/>
        </w:rPr>
        <w:t xml:space="preserve">[8] J. T. Slagel et al., "A formal verification framework for runtime assurance," Proc. NFM 2024, Springer.</w:t>
      </w:r>
    </w:p>
    <w:p>
      <w:pPr>
        <w:spacing w:after="60"/>
        <w:ind w:left="360" w:hanging="360"/>
      </w:pPr>
      <w:r>
        <w:rPr>
          <w:rFonts w:ascii="Times New Roman" w:cs="Times New Roman" w:eastAsia="Times New Roman" w:hAnsi="Times New Roman"/>
          <w:sz w:val="17"/>
          <w:szCs w:val="17"/>
        </w:rPr>
        <w:t xml:space="preserve">[9] S. M. Loos, D. W. Renshaw, and A. Platzer, "Formal verification of distributed aircraft controllers," Proc. HSCC 2013, pp. 125–130.</w:t>
      </w:r>
    </w:p>
    <w:p>
      <w:pPr>
        <w:spacing w:after="60"/>
        <w:ind w:left="360" w:hanging="360"/>
      </w:pPr>
      <w:r>
        <w:rPr>
          <w:rFonts w:ascii="Times New Roman" w:cs="Times New Roman" w:eastAsia="Times New Roman" w:hAnsi="Times New Roman"/>
          <w:sz w:val="17"/>
          <w:szCs w:val="17"/>
        </w:rPr>
        <w:t xml:space="preserve">[10] M. J. Fischer, N. A. Lynch, and M. S. Paterson, "Impossibility of distributed consensus with one faulty process," J. ACM, vol. 32, no. 2, 1985.</w:t>
      </w:r>
    </w:p>
    <w:p>
      <w:pPr>
        <w:spacing w:after="60"/>
        <w:ind w:left="360" w:hanging="360"/>
      </w:pPr>
      <w:r>
        <w:rPr>
          <w:rFonts w:ascii="Times New Roman" w:cs="Times New Roman" w:eastAsia="Times New Roman" w:hAnsi="Times New Roman"/>
          <w:sz w:val="17"/>
          <w:szCs w:val="17"/>
        </w:rPr>
        <w:t xml:space="preserve">[11] M. Castro and B. Liskov, "Practical Byzantine fault tolerance," Proc. OSDI 1999, USENIX, pp. 173–186.</w:t>
      </w:r>
    </w:p>
    <w:p>
      <w:pPr>
        <w:spacing w:after="60"/>
        <w:ind w:left="360" w:hanging="360"/>
      </w:pPr>
      <w:r>
        <w:rPr>
          <w:rFonts w:ascii="Times New Roman" w:cs="Times New Roman" w:eastAsia="Times New Roman" w:hAnsi="Times New Roman"/>
          <w:sz w:val="17"/>
          <w:szCs w:val="17"/>
        </w:rPr>
        <w:t xml:space="preserve">[12] L. Lamport, R. Shostak, and M. Pease, "The Byzantine generals problem," ACM TOPLAS, vol. 4, no. 3, 1982.</w:t>
      </w:r>
    </w:p>
    <w:p>
      <w:pPr>
        <w:spacing w:after="60"/>
        <w:ind w:left="360" w:hanging="360"/>
      </w:pPr>
      <w:r>
        <w:rPr>
          <w:rFonts w:ascii="Times New Roman" w:cs="Times New Roman" w:eastAsia="Times New Roman" w:hAnsi="Times New Roman"/>
          <w:sz w:val="17"/>
          <w:szCs w:val="17"/>
        </w:rPr>
        <w:t xml:space="preserve">[13] L. White et al., "A temporal differential dynamic logic formal embedding," Proc. CPP 2024, ACM.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7"/>
        <w:szCs w:val="17"/>
      </w:rPr>
      <w:t xml:space="preserve">Page </w:t>
    </w:r>
    <w:r>
      <w:rPr>
        <w:rFonts w:ascii="Times New Roman" w:cs="Times New Roman" w:eastAsia="Times New Roman" w:hAnsi="Times New Roman"/>
        <w:sz w:val="17"/>
        <w:szCs w:val="17"/>
      </w:rPr>
      <w:fldChar w:fldCharType="begin"/>
      <w:instrText xml:space="preserve">PAGE</w:instrText>
      <w:fldChar w:fldCharType="separate"/>
      <w:fldChar w:fldCharType="end"/>
    </w:r>
    <w:r>
      <w:rPr>
        <w:rFonts w:ascii="Times New Roman" w:cs="Times New Roman" w:eastAsia="Times New Roman" w:hAnsi="Times New Roman"/>
        <w:sz w:val="17"/>
        <w:szCs w:val="17"/>
      </w:rPr>
      <w:t xml:space="preserve"> of </w:t>
    </w:r>
    <w:r>
      <w:rPr>
        <w:rFonts w:ascii="Times New Roman" w:cs="Times New Roman" w:eastAsia="Times New Roman" w:hAnsi="Times New Roman"/>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4A7C" w:sz="4" w:space="4"/>
      </w:pBdr>
      <w:jc w:val="center"/>
    </w:pPr>
    <w:r>
      <w:rPr>
        <w:rFonts w:ascii="Times New Roman" w:cs="Times New Roman" w:eastAsia="Times New Roman" w:hAnsi="Times New Roman"/>
        <w:i/>
        <w:iCs/>
        <w:color w:val="555555"/>
        <w:sz w:val="17"/>
        <w:szCs w:val="17"/>
      </w:rPr>
      <w:t xml:space="preserve">Formal Verification of Decentralized Satellite Swarms — IEEE TAES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5b4ee5ecf8cbad15513c6b359efece84aa3d14.png"/><Relationship Id="rId10" Type="http://schemas.openxmlformats.org/officeDocument/2006/relationships/image" Target="media/66385d242a67a19ca154179e25ce0ec8d4f2abd8.png"/><Relationship Id="rId11" Type="http://schemas.openxmlformats.org/officeDocument/2006/relationships/image" Target="media/7d1128b4ed102fd0c4ae363d3eadcedcf0db8e25.png"/><Relationship Id="rId12" Type="http://schemas.openxmlformats.org/officeDocument/2006/relationships/image" Target="media/9c3a35b69b3e0755e395361c7d8d473f9cdae36e.png"/><Relationship Id="rId13" Type="http://schemas.openxmlformats.org/officeDocument/2006/relationships/image" Target="media/ecdc57610c1158507e041f4211b433338f45f8f0.png"/><Relationship Id="rId14" Type="http://schemas.openxmlformats.org/officeDocument/2006/relationships/image" Target="media/5f2229355f0c51f6fb38171d68cb7efaee0a7577.png"/><Relationship Id="rId15" Type="http://schemas.openxmlformats.org/officeDocument/2006/relationships/image" Target="media/d576e72ea9c82619a2ac465566ccd4b8249b9d40.png"/><Relationship Id="rId16" Type="http://schemas.openxmlformats.org/officeDocument/2006/relationships/image" Target="media/e4e77d0b54ce580f21c586075170b09da1bf799d.png"/><Relationship Id="rId17" Type="http://schemas.openxmlformats.org/officeDocument/2006/relationships/image" Target="media/13dfeb8ee9bcc6a78deef68c9f590a3c9e487a1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2026-07-01T04:10:42.758Z</dcterms:created>
  <dcterms:modified xsi:type="dcterms:W3CDTF">2026-07-01T04:10:42.770Z</dcterms:modified>
</cp:coreProperties>
</file>

<file path=docProps/custom.xml><?xml version="1.0" encoding="utf-8"?>
<Properties xmlns="http://schemas.openxmlformats.org/officeDocument/2006/custom-properties" xmlns:vt="http://schemas.openxmlformats.org/officeDocument/2006/docPropsVTypes"/>
</file>