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169th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169th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30th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Wednesday, 19th July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10:30 AM</w:t>
      </w:r>
    </w:p>
    <w:p w:rsidR="00000000" w:rsidDel="00000000" w:rsidP="00000000" w:rsidRDefault="00000000" w:rsidRPr="00000000" w14:paraId="00000007">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Deliberated and Resolved Points for Action by Staff/Unit Concerned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48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6480"/>
        <w:gridCol w:w="2535"/>
        <w:tblGridChange w:id="0">
          <w:tblGrid>
            <w:gridCol w:w="1470"/>
            <w:gridCol w:w="6480"/>
            <w:gridCol w:w="25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each school directors to submit their respective school’s course structure to the Dean Officer prior to the scheduled date.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w:t>
            </w:r>
          </w:p>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agreed by the PVC and the Registrar, the HOD resolved that the first orientation for new students at the university level will take place on August 14, 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request made by the Cadila to accomplish an audit for their firm is to be considered as approved by the committee.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resolved that every student of 1st year of every course would be accommodated in the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Hostel Management Branch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suggested that all school directors send the information on the students for the upcoming academic session to the hostel branch as soon as the admissions procedure concludes.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stated by the Registrar, the HOD recommended that all school directors submit their respective school's Annual Action Plan for the next five years. The Registrar Office will be sharing the format for the same with all the School Directors.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The Registrar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concerning the Pondicherry Campus, the HOD resolved that Dr. Nandha would focus on academics, research, and admissions in his role as the Campus Director, Mr. Arsh would handle administrative matters as the Assistant Campus Director, and Mr. Dushyant would look after recruitment-related matters with the assistance of the Deputy Registrar, Main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 Pondicherry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in connection with the City Tour of the Trainees, the HOD advised getting permissions from the Ministries involved with the training prior to scheduling the City Tours.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stated by the Registrar, the HOD resolved that Dr Dolly Mishra from Gandhinagar Campus will be transferred to the Lucknow Campus and Dr Kaveri Tandon from the Lucknow Campus will be transferred to the Shivamogga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 SISPA,</w:t>
            </w:r>
          </w:p>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 Lucknow &amp;</w:t>
            </w:r>
          </w:p>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 Pondicherry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169.10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informed by the Registrar that the RSV had been approved by the Governing Body, the HOD requested to submit all the communications with the Government of Gujarat.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Director-SISDSS</w:t>
            </w:r>
          </w:p>
        </w:tc>
      </w:tr>
    </w:tbl>
    <w:p w:rsidR="00000000" w:rsidDel="00000000" w:rsidP="00000000" w:rsidRDefault="00000000" w:rsidRPr="00000000" w14:paraId="0000002D">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