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THE FINAL MINUTES OF THE 192nd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192nd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4th Meeting of 2024</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22nd January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03:00 PM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tbl>
      <w:tblPr>
        <w:tblStyle w:val="Table1"/>
        <w:tblW w:w="1089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6960"/>
        <w:gridCol w:w="2895"/>
        <w:tblGridChange w:id="0">
          <w:tblGrid>
            <w:gridCol w:w="1035"/>
            <w:gridCol w:w="6960"/>
            <w:gridCol w:w="2895"/>
          </w:tblGrid>
        </w:tblGridChange>
      </w:tblGrid>
      <w:tr>
        <w:trPr>
          <w:cantSplit w:val="0"/>
          <w:tblHeader w:val="0"/>
        </w:trPr>
        <w:tc>
          <w:tcPr/>
          <w:p w:rsidR="00000000" w:rsidDel="00000000" w:rsidP="00000000" w:rsidRDefault="00000000" w:rsidRPr="00000000" w14:paraId="0000000B">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C">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D">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there should be harmony rather than uniformity in the application fees for various courses. Additionally, the Application fees for the NRIs should be only in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University Dean, the HOD suggested that if faculties or the director is not able to deliver in a particular training program, the faculties/resource persons from outside shall be invited and the University Faculties/Directors shall be engaged with the same training as participants but not as instructors.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4">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Faculties</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new Uniform of the University Students, the HOD suggested that involving the University Students by putting on the website. The new Uniforms for each school should be ready by the beginning of the next 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also suggested that the Current Batch students should continue with the old School Uniforms.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connection with Covid case that came across recently in the University, the HOD requested the Medical Officer to circulate the Advisory for the same and the affected persons should be in touch with the Medical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Medical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onboarding Mr Kamaluddin Sahem and also utilizing his knowledge of Pashto by dedicated capsule programs in Pashto for different organizations.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Director-SICSSL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expedite the recruitment process for 5 years tenure and to give the appointment letters to the selected personals at the earliest.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floating an EOI along with the Training Calendar on the website for getting nominations for scheduled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27">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starting paperless examinations also for other schools from the end semester examinations.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2B">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Examination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sharing all the posts on the Training Directorate Webpage &amp; Social Media whichever training programs the Schools announces.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Dean-Training to meet with School Directors to determine how much training the school can handle in the near future. Based on the same, the Dean-Training was asked to fix the training calendar and avoid scheduling additional training until higher offices specifically 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32">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MoU with the Karnataka Government, the HOD suggested emphasizing on the employment in Private, Industrial &amp; Corporate Sectors and for the same, the AKLAVYA Model carried out for the UP State should also be followed.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Director-Shivamogga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providing Crash Course for Recruitment in State Police and other Police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Director-Shivamogga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the Training Calendar for the new three Bills presented in the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Dean-Research &amp; Publication</w:t>
            </w:r>
          </w:p>
        </w:tc>
      </w:tr>
    </w:tbl>
    <w:p w:rsidR="00000000" w:rsidDel="00000000" w:rsidP="00000000" w:rsidRDefault="00000000" w:rsidRPr="00000000" w14:paraId="0000003C">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