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THE MINUTES OF THE 197th HOD MEETING </w:t>
      </w:r>
    </w:p>
    <w:p w:rsidR="00000000" w:rsidDel="00000000" w:rsidP="00000000" w:rsidRDefault="00000000" w:rsidRPr="00000000" w14:paraId="00000002">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197th Meeting</w:t>
      </w:r>
    </w:p>
    <w:p w:rsidR="00000000" w:rsidDel="00000000" w:rsidP="00000000" w:rsidRDefault="00000000" w:rsidRPr="00000000" w14:paraId="00000004">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9th Meeting of 2024</w:t>
      </w:r>
    </w:p>
    <w:p w:rsidR="00000000" w:rsidDel="00000000" w:rsidP="00000000" w:rsidRDefault="00000000" w:rsidRPr="00000000" w14:paraId="00000005">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26th February 2024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03:30 PM</w:t>
      </w:r>
    </w:p>
    <w:p w:rsidR="00000000" w:rsidDel="00000000" w:rsidP="00000000" w:rsidRDefault="00000000" w:rsidRPr="00000000" w14:paraId="0000000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p w:rsidR="00000000" w:rsidDel="00000000" w:rsidP="00000000" w:rsidRDefault="00000000" w:rsidRPr="00000000" w14:paraId="00000009">
      <w:pPr>
        <w:shd w:fill="ffffff" w:val="clea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32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255"/>
        <w:gridCol w:w="3060"/>
        <w:tblGridChange w:id="0">
          <w:tblGrid>
            <w:gridCol w:w="1005"/>
            <w:gridCol w:w="6255"/>
            <w:gridCol w:w="30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promote internationalization and bring international students, each school shall provide a full tuition fee waiver to 5 international students for every Master’s course. International students will only required to bear the boarding &amp; lodging. The same should be on the University website and each school’s webpage.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10">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Non-veg food will be provided at mess 2 days a week.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14">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Mess Committee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197.03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At 4 o’clock some sort of snacks should be provided in the mess.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18">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Mess Committee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By 25th March, the Hostel Building has to be ready for utilization.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Development Director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proposal for IMINT Center has in principle approval.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start student welfare funds and staff welfare funds. Anyone can contribute voluntarily and such funds can be utilized for welfare activities for which the University will not be liable.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22">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Registrar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Carrying mobiles in the classrooms by students should be strictly prohibited.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University Dean</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197.08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Full-time registered PhD scholars have to take a minimum of 10 lectures per semester. The Practitioner PhD candidates should deliver lectures virtually.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Dean-R &amp; P</w:t>
            </w:r>
          </w:p>
          <w:p w:rsidR="00000000" w:rsidDel="00000000" w:rsidP="00000000" w:rsidRDefault="00000000" w:rsidRPr="00000000" w14:paraId="00000029">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197.09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expedite the process, if required, the current agency providing furniture infrastructure requirements at CDFM/Canteen should be asked to provide their services for the upcoming hostel furniture requirement without floating the tender.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Development Director</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every training program organized by the campus, the press note must be prepared and shared with the Offices of the CM, the HM and the Governor of the respective state.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Once a month, all students should be engaged in some sort of cleanliness drive at religious structures.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Attempt to bring students from 28 states and all the UT into the admissions for the next academic year.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36">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Practioner PhDs for candidates from other countries, a proposal should be submitted by Head-ICRB and then deliberate.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Head-ICRB</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Dr. Shahanshah Gulpham and Dr. Dimple Raval will be attending an online briefing on 29th February 2024 from 3 to 4 p.m. (CET) regarding the 2024 UN Civil Society Conference which will be held in Nairobi, Kenya from 9 to 10 May 2024.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Director-SCLML</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Each school should do MoU with its counterparts, especially for student and faculty exchange.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Quotations will be invited for the virtual visit (360-degree view) of the University and Search Engine Optimization (SEO) and digital promotion of the University throughout the year.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43">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Director-SASTRA</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197.17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Hostel fees for the upcoming Academic Year will be Rs. 18,000/- for all the students and Rs 24,000/- for PhD scholars per semester.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Rule="auto"/>
              <w:ind w:left="400" w:hanging="20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tc>
      </w:tr>
    </w:tbl>
    <w:p w:rsidR="00000000" w:rsidDel="00000000" w:rsidP="00000000" w:rsidRDefault="00000000" w:rsidRPr="00000000" w14:paraId="00000047">
      <w:pPr>
        <w:shd w:fill="ffffff" w:val="clea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240" w:before="0" w:lineRule="auto"/>
        <w:rPr/>
      </w:pPr>
      <w:r w:rsidDel="00000000" w:rsidR="00000000" w:rsidRPr="00000000">
        <w:rPr>
          <w:rtl w:val="0"/>
        </w:rPr>
        <w:t xml:space="preserve"> </w:t>
      </w:r>
    </w:p>
    <w:p w:rsidR="00000000" w:rsidDel="00000000" w:rsidP="00000000" w:rsidRDefault="00000000" w:rsidRPr="00000000" w14:paraId="00000049">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