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77894" w14:textId="77777777" w:rsidR="00AC1746" w:rsidRDefault="00AC1746" w:rsidP="00AC1746">
      <w:pPr>
        <w:spacing w:before="240" w:line="240" w:lineRule="auto"/>
        <w:jc w:val="center"/>
        <w:rPr>
          <w:rFonts w:ascii="EB Garamond" w:eastAsia="EB Garamond" w:hAnsi="EB Garamond" w:cs="EB Garamond"/>
          <w:sz w:val="26"/>
          <w:szCs w:val="26"/>
          <w:u w:val="single"/>
        </w:rPr>
      </w:pPr>
      <w:r>
        <w:rPr>
          <w:rFonts w:ascii="EB Garamond" w:eastAsia="EB Garamond" w:hAnsi="EB Garamond" w:cs="EB Garamond"/>
          <w:sz w:val="24"/>
          <w:szCs w:val="24"/>
        </w:rPr>
        <w:t xml:space="preserve">THE MINUTES OF THE 279th HOD MEETING </w:t>
      </w:r>
    </w:p>
    <w:p w14:paraId="0799AE4B" w14:textId="77777777" w:rsidR="00AC1746" w:rsidRDefault="00AC1746" w:rsidP="00AC1746">
      <w:pP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Monday October 27, 2025</w:t>
      </w:r>
    </w:p>
    <w:p w14:paraId="2DC035A2" w14:textId="77777777" w:rsidR="00AC1746" w:rsidRDefault="00AC1746" w:rsidP="00AC1746">
      <w:pPr>
        <w:spacing w:line="240" w:lineRule="auto"/>
        <w:jc w:val="center"/>
        <w:rPr>
          <w:rFonts w:ascii="EB Garamond" w:eastAsia="EB Garamond" w:hAnsi="EB Garamond" w:cs="EB Garamond"/>
          <w:sz w:val="24"/>
          <w:szCs w:val="24"/>
        </w:rPr>
      </w:pPr>
    </w:p>
    <w:p w14:paraId="41D65F25" w14:textId="77777777" w:rsidR="00AC1746" w:rsidRDefault="00AC1746" w:rsidP="00AC1746">
      <w:pPr>
        <w:spacing w:line="240" w:lineRule="auto"/>
        <w:jc w:val="center"/>
        <w:rPr>
          <w:rFonts w:ascii="EB Garamond" w:eastAsia="EB Garamond" w:hAnsi="EB Garamond" w:cs="EB Garamond"/>
          <w:sz w:val="24"/>
          <w:szCs w:val="24"/>
        </w:rPr>
      </w:pPr>
      <w:r>
        <w:rPr>
          <w:rFonts w:ascii="EB Garamond" w:eastAsia="EB Garamond" w:hAnsi="EB Garamond" w:cs="EB Garamond"/>
          <w:sz w:val="24"/>
          <w:szCs w:val="24"/>
        </w:rPr>
        <w:t>Deliberated and Resolved Points for Action by Staff/Unit Concerned</w:t>
      </w:r>
    </w:p>
    <w:p w14:paraId="580CD95E" w14:textId="77777777" w:rsidR="00AC1746" w:rsidRDefault="00AC1746" w:rsidP="00AC1746">
      <w:pPr>
        <w:spacing w:before="240" w:line="240" w:lineRule="auto"/>
        <w:jc w:val="center"/>
        <w:rPr>
          <w:rFonts w:ascii="EB Garamond" w:eastAsia="EB Garamond" w:hAnsi="EB Garamond" w:cs="EB Garamond"/>
          <w:sz w:val="24"/>
          <w:szCs w:val="24"/>
        </w:rPr>
      </w:pP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5"/>
        <w:gridCol w:w="6006"/>
        <w:gridCol w:w="2349"/>
      </w:tblGrid>
      <w:tr w:rsidR="00AC1746" w14:paraId="7A513EDD" w14:textId="77777777" w:rsidTr="00487669">
        <w:trPr>
          <w:jc w:val="center"/>
        </w:trPr>
        <w:tc>
          <w:tcPr>
            <w:tcW w:w="1005" w:type="dxa"/>
            <w:tcMar>
              <w:top w:w="100" w:type="dxa"/>
              <w:left w:w="100" w:type="dxa"/>
              <w:bottom w:w="100" w:type="dxa"/>
              <w:right w:w="100" w:type="dxa"/>
            </w:tcMar>
          </w:tcPr>
          <w:p w14:paraId="7FFBDD8F" w14:textId="77777777" w:rsidR="00AC1746" w:rsidRDefault="00AC1746" w:rsidP="00487669">
            <w:pPr>
              <w:spacing w:line="240" w:lineRule="auto"/>
              <w:rPr>
                <w:rFonts w:ascii="EB Garamond" w:eastAsia="EB Garamond" w:hAnsi="EB Garamond" w:cs="EB Garamond"/>
                <w:sz w:val="24"/>
                <w:szCs w:val="24"/>
              </w:rPr>
            </w:pPr>
            <w:r>
              <w:rPr>
                <w:rFonts w:ascii="EB Garamond" w:eastAsia="EB Garamond" w:hAnsi="EB Garamond" w:cs="EB Garamond"/>
                <w:sz w:val="24"/>
                <w:szCs w:val="24"/>
              </w:rPr>
              <w:t>Sr No</w:t>
            </w:r>
          </w:p>
        </w:tc>
        <w:tc>
          <w:tcPr>
            <w:tcW w:w="6006" w:type="dxa"/>
            <w:tcMar>
              <w:top w:w="100" w:type="dxa"/>
              <w:left w:w="100" w:type="dxa"/>
              <w:bottom w:w="100" w:type="dxa"/>
              <w:right w:w="100" w:type="dxa"/>
            </w:tcMar>
          </w:tcPr>
          <w:p w14:paraId="7C6FC529" w14:textId="77777777" w:rsidR="00AC1746" w:rsidRDefault="00AC1746" w:rsidP="00487669">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Resolved/Suggested Points </w:t>
            </w:r>
          </w:p>
        </w:tc>
        <w:tc>
          <w:tcPr>
            <w:tcW w:w="2349" w:type="dxa"/>
            <w:tcMar>
              <w:top w:w="100" w:type="dxa"/>
              <w:left w:w="100" w:type="dxa"/>
              <w:bottom w:w="100" w:type="dxa"/>
              <w:right w:w="100" w:type="dxa"/>
            </w:tcMar>
          </w:tcPr>
          <w:p w14:paraId="66EBACCE" w14:textId="77777777" w:rsidR="00AC1746" w:rsidRDefault="00AC1746" w:rsidP="00487669">
            <w:pPr>
              <w:spacing w:line="240" w:lineRule="auto"/>
              <w:rPr>
                <w:rFonts w:ascii="EB Garamond" w:eastAsia="EB Garamond" w:hAnsi="EB Garamond" w:cs="EB Garamond"/>
                <w:sz w:val="24"/>
                <w:szCs w:val="24"/>
              </w:rPr>
            </w:pPr>
            <w:r>
              <w:rPr>
                <w:rFonts w:ascii="EB Garamond" w:eastAsia="EB Garamond" w:hAnsi="EB Garamond" w:cs="EB Garamond"/>
                <w:sz w:val="24"/>
                <w:szCs w:val="24"/>
              </w:rPr>
              <w:t>Concerned Unit/ Staff</w:t>
            </w:r>
          </w:p>
        </w:tc>
      </w:tr>
      <w:tr w:rsidR="00AC1746" w14:paraId="2EF128E7" w14:textId="77777777" w:rsidTr="00487669">
        <w:trPr>
          <w:jc w:val="center"/>
        </w:trPr>
        <w:tc>
          <w:tcPr>
            <w:tcW w:w="1005" w:type="dxa"/>
            <w:tcMar>
              <w:top w:w="100" w:type="dxa"/>
              <w:left w:w="100" w:type="dxa"/>
              <w:bottom w:w="100" w:type="dxa"/>
              <w:right w:w="100" w:type="dxa"/>
            </w:tcMar>
          </w:tcPr>
          <w:p w14:paraId="19E590EF"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279.1</w:t>
            </w:r>
          </w:p>
        </w:tc>
        <w:tc>
          <w:tcPr>
            <w:tcW w:w="6006" w:type="dxa"/>
            <w:tcMar>
              <w:top w:w="100" w:type="dxa"/>
              <w:left w:w="100" w:type="dxa"/>
              <w:bottom w:w="100" w:type="dxa"/>
              <w:right w:w="100" w:type="dxa"/>
            </w:tcMar>
          </w:tcPr>
          <w:p w14:paraId="16F5E2FD"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Submit the special achievements of staff like paper publication or any research work to PVCO and </w:t>
            </w:r>
            <w:proofErr w:type="spellStart"/>
            <w:r>
              <w:rPr>
                <w:rFonts w:ascii="EB Garamond" w:eastAsia="EB Garamond" w:hAnsi="EB Garamond" w:cs="EB Garamond"/>
                <w:sz w:val="24"/>
                <w:szCs w:val="24"/>
              </w:rPr>
              <w:t>DoR&amp;P</w:t>
            </w:r>
            <w:proofErr w:type="spellEnd"/>
            <w:r>
              <w:rPr>
                <w:rFonts w:ascii="EB Garamond" w:eastAsia="EB Garamond" w:hAnsi="EB Garamond" w:cs="EB Garamond"/>
                <w:sz w:val="24"/>
                <w:szCs w:val="24"/>
              </w:rPr>
              <w:t xml:space="preserve">. </w:t>
            </w:r>
          </w:p>
        </w:tc>
        <w:tc>
          <w:tcPr>
            <w:tcW w:w="2349" w:type="dxa"/>
            <w:tcMar>
              <w:top w:w="100" w:type="dxa"/>
              <w:left w:w="100" w:type="dxa"/>
              <w:bottom w:w="100" w:type="dxa"/>
              <w:right w:w="100" w:type="dxa"/>
            </w:tcMar>
          </w:tcPr>
          <w:p w14:paraId="7211C64B"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School Directors </w:t>
            </w:r>
          </w:p>
        </w:tc>
      </w:tr>
      <w:tr w:rsidR="00AC1746" w14:paraId="0D83C23F" w14:textId="77777777" w:rsidTr="00487669">
        <w:trPr>
          <w:jc w:val="center"/>
        </w:trPr>
        <w:tc>
          <w:tcPr>
            <w:tcW w:w="1005" w:type="dxa"/>
            <w:tcMar>
              <w:top w:w="100" w:type="dxa"/>
              <w:left w:w="100" w:type="dxa"/>
              <w:bottom w:w="100" w:type="dxa"/>
              <w:right w:w="100" w:type="dxa"/>
            </w:tcMar>
          </w:tcPr>
          <w:p w14:paraId="74BAF0EB"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279.2</w:t>
            </w:r>
          </w:p>
        </w:tc>
        <w:tc>
          <w:tcPr>
            <w:tcW w:w="6006" w:type="dxa"/>
            <w:tcMar>
              <w:top w:w="100" w:type="dxa"/>
              <w:left w:w="100" w:type="dxa"/>
              <w:bottom w:w="100" w:type="dxa"/>
              <w:right w:w="100" w:type="dxa"/>
            </w:tcMar>
          </w:tcPr>
          <w:p w14:paraId="42B960C1"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Proposal submitted for Maldives which is principally approved by the ITEC. </w:t>
            </w:r>
          </w:p>
        </w:tc>
        <w:tc>
          <w:tcPr>
            <w:tcW w:w="2349" w:type="dxa"/>
            <w:tcMar>
              <w:top w:w="100" w:type="dxa"/>
              <w:left w:w="100" w:type="dxa"/>
              <w:bottom w:w="100" w:type="dxa"/>
              <w:right w:w="100" w:type="dxa"/>
            </w:tcMar>
          </w:tcPr>
          <w:p w14:paraId="5CC1AFD7"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ICRB</w:t>
            </w:r>
          </w:p>
        </w:tc>
      </w:tr>
      <w:tr w:rsidR="00AC1746" w14:paraId="0714478D" w14:textId="77777777" w:rsidTr="00487669">
        <w:trPr>
          <w:jc w:val="center"/>
        </w:trPr>
        <w:tc>
          <w:tcPr>
            <w:tcW w:w="1005" w:type="dxa"/>
            <w:tcMar>
              <w:top w:w="100" w:type="dxa"/>
              <w:left w:w="100" w:type="dxa"/>
              <w:bottom w:w="100" w:type="dxa"/>
              <w:right w:w="100" w:type="dxa"/>
            </w:tcMar>
          </w:tcPr>
          <w:p w14:paraId="12BF9706"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279.3</w:t>
            </w:r>
          </w:p>
        </w:tc>
        <w:tc>
          <w:tcPr>
            <w:tcW w:w="6006" w:type="dxa"/>
            <w:tcMar>
              <w:top w:w="100" w:type="dxa"/>
              <w:left w:w="100" w:type="dxa"/>
              <w:bottom w:w="100" w:type="dxa"/>
              <w:right w:w="100" w:type="dxa"/>
            </w:tcMar>
          </w:tcPr>
          <w:p w14:paraId="5B117421"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Seven trainings will be conducted in November 2025.  </w:t>
            </w:r>
          </w:p>
        </w:tc>
        <w:tc>
          <w:tcPr>
            <w:tcW w:w="2349" w:type="dxa"/>
            <w:tcMar>
              <w:top w:w="100" w:type="dxa"/>
              <w:left w:w="100" w:type="dxa"/>
              <w:bottom w:w="100" w:type="dxa"/>
              <w:right w:w="100" w:type="dxa"/>
            </w:tcMar>
          </w:tcPr>
          <w:p w14:paraId="47A1039C"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Dean Training </w:t>
            </w:r>
          </w:p>
        </w:tc>
      </w:tr>
      <w:tr w:rsidR="00AC1746" w14:paraId="5D06ABA5" w14:textId="77777777" w:rsidTr="00487669">
        <w:trPr>
          <w:jc w:val="center"/>
        </w:trPr>
        <w:tc>
          <w:tcPr>
            <w:tcW w:w="1005" w:type="dxa"/>
            <w:tcMar>
              <w:top w:w="100" w:type="dxa"/>
              <w:left w:w="100" w:type="dxa"/>
              <w:bottom w:w="100" w:type="dxa"/>
              <w:right w:w="100" w:type="dxa"/>
            </w:tcMar>
          </w:tcPr>
          <w:p w14:paraId="30099177"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279.4</w:t>
            </w:r>
          </w:p>
        </w:tc>
        <w:tc>
          <w:tcPr>
            <w:tcW w:w="6006" w:type="dxa"/>
            <w:tcMar>
              <w:top w:w="100" w:type="dxa"/>
              <w:left w:w="100" w:type="dxa"/>
              <w:bottom w:w="100" w:type="dxa"/>
              <w:right w:w="100" w:type="dxa"/>
            </w:tcMar>
          </w:tcPr>
          <w:p w14:paraId="7A1E4045"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Contacted to rent the private property for the academics and offices. </w:t>
            </w:r>
          </w:p>
        </w:tc>
        <w:tc>
          <w:tcPr>
            <w:tcW w:w="2349" w:type="dxa"/>
            <w:tcMar>
              <w:top w:w="100" w:type="dxa"/>
              <w:left w:w="100" w:type="dxa"/>
              <w:bottom w:w="100" w:type="dxa"/>
              <w:right w:w="100" w:type="dxa"/>
            </w:tcMar>
          </w:tcPr>
          <w:p w14:paraId="75948030"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J&amp;K</w:t>
            </w:r>
          </w:p>
        </w:tc>
      </w:tr>
      <w:tr w:rsidR="00AC1746" w14:paraId="1BCD5446" w14:textId="77777777" w:rsidTr="00487669">
        <w:trPr>
          <w:jc w:val="center"/>
        </w:trPr>
        <w:tc>
          <w:tcPr>
            <w:tcW w:w="1005" w:type="dxa"/>
            <w:tcMar>
              <w:top w:w="100" w:type="dxa"/>
              <w:left w:w="100" w:type="dxa"/>
              <w:bottom w:w="100" w:type="dxa"/>
              <w:right w:w="100" w:type="dxa"/>
            </w:tcMar>
          </w:tcPr>
          <w:p w14:paraId="63F3BCAB"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279.5</w:t>
            </w:r>
          </w:p>
        </w:tc>
        <w:tc>
          <w:tcPr>
            <w:tcW w:w="6006" w:type="dxa"/>
            <w:tcMar>
              <w:top w:w="100" w:type="dxa"/>
              <w:left w:w="100" w:type="dxa"/>
              <w:bottom w:w="100" w:type="dxa"/>
              <w:right w:w="100" w:type="dxa"/>
            </w:tcMar>
          </w:tcPr>
          <w:p w14:paraId="1899E343"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EoI is floated for the Senior Python Developer and Junior Python developer. It is suggested that some students may be nominated for the certificate course. Maj. Gen Sandeep Sharma, ERF will be visiting the university. </w:t>
            </w:r>
          </w:p>
        </w:tc>
        <w:tc>
          <w:tcPr>
            <w:tcW w:w="2349" w:type="dxa"/>
            <w:tcMar>
              <w:top w:w="100" w:type="dxa"/>
              <w:left w:w="100" w:type="dxa"/>
              <w:bottom w:w="100" w:type="dxa"/>
              <w:right w:w="100" w:type="dxa"/>
            </w:tcMar>
          </w:tcPr>
          <w:p w14:paraId="62B02D79"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SITAICS</w:t>
            </w:r>
          </w:p>
        </w:tc>
      </w:tr>
      <w:tr w:rsidR="00AC1746" w14:paraId="612EB9BC" w14:textId="77777777" w:rsidTr="00487669">
        <w:trPr>
          <w:jc w:val="center"/>
        </w:trPr>
        <w:tc>
          <w:tcPr>
            <w:tcW w:w="1005" w:type="dxa"/>
            <w:tcMar>
              <w:top w:w="100" w:type="dxa"/>
              <w:left w:w="100" w:type="dxa"/>
              <w:bottom w:w="100" w:type="dxa"/>
              <w:right w:w="100" w:type="dxa"/>
            </w:tcMar>
          </w:tcPr>
          <w:p w14:paraId="2F26C8B0"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279.6</w:t>
            </w:r>
          </w:p>
        </w:tc>
        <w:tc>
          <w:tcPr>
            <w:tcW w:w="6006" w:type="dxa"/>
            <w:tcMar>
              <w:top w:w="100" w:type="dxa"/>
              <w:left w:w="100" w:type="dxa"/>
              <w:bottom w:w="100" w:type="dxa"/>
              <w:right w:w="100" w:type="dxa"/>
            </w:tcMar>
          </w:tcPr>
          <w:p w14:paraId="7DEDD7CF"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Students completed a field visit to </w:t>
            </w:r>
            <w:proofErr w:type="spellStart"/>
            <w:r>
              <w:rPr>
                <w:rFonts w:ascii="EB Garamond" w:eastAsia="EB Garamond" w:hAnsi="EB Garamond" w:cs="EB Garamond"/>
                <w:sz w:val="24"/>
                <w:szCs w:val="24"/>
              </w:rPr>
              <w:t>Vibrunt</w:t>
            </w:r>
            <w:proofErr w:type="spellEnd"/>
            <w:r>
              <w:rPr>
                <w:rFonts w:ascii="EB Garamond" w:eastAsia="EB Garamond" w:hAnsi="EB Garamond" w:cs="EB Garamond"/>
                <w:sz w:val="24"/>
                <w:szCs w:val="24"/>
              </w:rPr>
              <w:t xml:space="preserve"> village. </w:t>
            </w:r>
          </w:p>
        </w:tc>
        <w:tc>
          <w:tcPr>
            <w:tcW w:w="2349" w:type="dxa"/>
            <w:tcMar>
              <w:top w:w="100" w:type="dxa"/>
              <w:left w:w="100" w:type="dxa"/>
              <w:bottom w:w="100" w:type="dxa"/>
              <w:right w:w="100" w:type="dxa"/>
            </w:tcMar>
          </w:tcPr>
          <w:p w14:paraId="287D122B"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SISSP</w:t>
            </w:r>
          </w:p>
        </w:tc>
      </w:tr>
      <w:tr w:rsidR="00AC1746" w14:paraId="34BBC782" w14:textId="77777777" w:rsidTr="00487669">
        <w:trPr>
          <w:jc w:val="center"/>
        </w:trPr>
        <w:tc>
          <w:tcPr>
            <w:tcW w:w="1005" w:type="dxa"/>
            <w:tcMar>
              <w:top w:w="100" w:type="dxa"/>
              <w:left w:w="100" w:type="dxa"/>
              <w:bottom w:w="100" w:type="dxa"/>
              <w:right w:w="100" w:type="dxa"/>
            </w:tcMar>
          </w:tcPr>
          <w:p w14:paraId="58985163"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279.7</w:t>
            </w:r>
          </w:p>
        </w:tc>
        <w:tc>
          <w:tcPr>
            <w:tcW w:w="6006" w:type="dxa"/>
            <w:tcMar>
              <w:top w:w="100" w:type="dxa"/>
              <w:left w:w="100" w:type="dxa"/>
              <w:bottom w:w="100" w:type="dxa"/>
              <w:right w:w="100" w:type="dxa"/>
            </w:tcMar>
          </w:tcPr>
          <w:p w14:paraId="667738FA"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Requested to extend the twelve more days for teaching for the semester one students. </w:t>
            </w:r>
          </w:p>
        </w:tc>
        <w:tc>
          <w:tcPr>
            <w:tcW w:w="2349" w:type="dxa"/>
            <w:tcMar>
              <w:top w:w="100" w:type="dxa"/>
              <w:left w:w="100" w:type="dxa"/>
              <w:bottom w:w="100" w:type="dxa"/>
              <w:right w:w="100" w:type="dxa"/>
            </w:tcMar>
          </w:tcPr>
          <w:p w14:paraId="06D1ABE3"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SICMSS</w:t>
            </w:r>
          </w:p>
        </w:tc>
      </w:tr>
      <w:tr w:rsidR="00AC1746" w14:paraId="5A5C7270" w14:textId="77777777" w:rsidTr="00487669">
        <w:trPr>
          <w:jc w:val="center"/>
        </w:trPr>
        <w:tc>
          <w:tcPr>
            <w:tcW w:w="1005" w:type="dxa"/>
            <w:tcMar>
              <w:top w:w="100" w:type="dxa"/>
              <w:left w:w="100" w:type="dxa"/>
              <w:bottom w:w="100" w:type="dxa"/>
              <w:right w:w="100" w:type="dxa"/>
            </w:tcMar>
          </w:tcPr>
          <w:p w14:paraId="22E187DE"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279.8</w:t>
            </w:r>
          </w:p>
        </w:tc>
        <w:tc>
          <w:tcPr>
            <w:tcW w:w="6006" w:type="dxa"/>
            <w:tcMar>
              <w:top w:w="100" w:type="dxa"/>
              <w:left w:w="100" w:type="dxa"/>
              <w:bottom w:w="100" w:type="dxa"/>
              <w:right w:w="100" w:type="dxa"/>
            </w:tcMar>
          </w:tcPr>
          <w:p w14:paraId="4126079F"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Requests for the pantry area of first and second floor that can be used for the accommodation of Security personnels which are currently not in use. Received confirmation from the NSG for the orientation of staff. </w:t>
            </w:r>
          </w:p>
        </w:tc>
        <w:tc>
          <w:tcPr>
            <w:tcW w:w="2349" w:type="dxa"/>
            <w:tcMar>
              <w:top w:w="100" w:type="dxa"/>
              <w:left w:w="100" w:type="dxa"/>
              <w:bottom w:w="100" w:type="dxa"/>
              <w:right w:w="100" w:type="dxa"/>
            </w:tcMar>
          </w:tcPr>
          <w:p w14:paraId="6AFF2C89"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CSO</w:t>
            </w:r>
          </w:p>
        </w:tc>
      </w:tr>
      <w:tr w:rsidR="00AC1746" w14:paraId="66DCAFD7" w14:textId="77777777" w:rsidTr="00487669">
        <w:trPr>
          <w:jc w:val="center"/>
        </w:trPr>
        <w:tc>
          <w:tcPr>
            <w:tcW w:w="1005" w:type="dxa"/>
            <w:tcMar>
              <w:top w:w="100" w:type="dxa"/>
              <w:left w:w="100" w:type="dxa"/>
              <w:bottom w:w="100" w:type="dxa"/>
              <w:right w:w="100" w:type="dxa"/>
            </w:tcMar>
          </w:tcPr>
          <w:p w14:paraId="279F1778"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279.9</w:t>
            </w:r>
          </w:p>
        </w:tc>
        <w:tc>
          <w:tcPr>
            <w:tcW w:w="6006" w:type="dxa"/>
            <w:tcMar>
              <w:top w:w="100" w:type="dxa"/>
              <w:left w:w="100" w:type="dxa"/>
              <w:bottom w:w="100" w:type="dxa"/>
              <w:right w:w="100" w:type="dxa"/>
            </w:tcMar>
          </w:tcPr>
          <w:p w14:paraId="1D5415D6"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Internship of students at NCB is </w:t>
            </w:r>
            <w:proofErr w:type="spellStart"/>
            <w:r>
              <w:rPr>
                <w:rFonts w:ascii="EB Garamond" w:eastAsia="EB Garamond" w:hAnsi="EB Garamond" w:cs="EB Garamond"/>
                <w:sz w:val="24"/>
                <w:szCs w:val="24"/>
              </w:rPr>
              <w:t>finalised</w:t>
            </w:r>
            <w:proofErr w:type="spellEnd"/>
            <w:r>
              <w:rPr>
                <w:rFonts w:ascii="EB Garamond" w:eastAsia="EB Garamond" w:hAnsi="EB Garamond" w:cs="EB Garamond"/>
                <w:sz w:val="24"/>
                <w:szCs w:val="24"/>
              </w:rPr>
              <w:t xml:space="preserve">. </w:t>
            </w:r>
          </w:p>
        </w:tc>
        <w:tc>
          <w:tcPr>
            <w:tcW w:w="2349" w:type="dxa"/>
            <w:tcMar>
              <w:top w:w="100" w:type="dxa"/>
              <w:left w:w="100" w:type="dxa"/>
              <w:bottom w:w="100" w:type="dxa"/>
              <w:right w:w="100" w:type="dxa"/>
            </w:tcMar>
          </w:tcPr>
          <w:p w14:paraId="3DD671E8"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AP Campus Director </w:t>
            </w:r>
          </w:p>
        </w:tc>
      </w:tr>
      <w:tr w:rsidR="00AC1746" w14:paraId="604A7C54" w14:textId="77777777" w:rsidTr="00487669">
        <w:trPr>
          <w:jc w:val="center"/>
        </w:trPr>
        <w:tc>
          <w:tcPr>
            <w:tcW w:w="1005" w:type="dxa"/>
            <w:tcMar>
              <w:top w:w="100" w:type="dxa"/>
              <w:left w:w="100" w:type="dxa"/>
              <w:bottom w:w="100" w:type="dxa"/>
              <w:right w:w="100" w:type="dxa"/>
            </w:tcMar>
          </w:tcPr>
          <w:p w14:paraId="3B52ADC9"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279.10</w:t>
            </w:r>
          </w:p>
        </w:tc>
        <w:tc>
          <w:tcPr>
            <w:tcW w:w="6006" w:type="dxa"/>
            <w:tcMar>
              <w:top w:w="100" w:type="dxa"/>
              <w:left w:w="100" w:type="dxa"/>
              <w:bottom w:w="100" w:type="dxa"/>
              <w:right w:w="100" w:type="dxa"/>
            </w:tcMar>
          </w:tcPr>
          <w:p w14:paraId="6DE1DA53"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It is suggested that to initiate the student driven research club. </w:t>
            </w:r>
          </w:p>
        </w:tc>
        <w:tc>
          <w:tcPr>
            <w:tcW w:w="2349" w:type="dxa"/>
            <w:tcMar>
              <w:top w:w="100" w:type="dxa"/>
              <w:left w:w="100" w:type="dxa"/>
              <w:bottom w:w="100" w:type="dxa"/>
              <w:right w:w="100" w:type="dxa"/>
            </w:tcMar>
          </w:tcPr>
          <w:p w14:paraId="0C8187FC"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Regional Campus Directors </w:t>
            </w:r>
          </w:p>
        </w:tc>
      </w:tr>
      <w:tr w:rsidR="00AC1746" w14:paraId="1378EF8E" w14:textId="77777777" w:rsidTr="00487669">
        <w:trPr>
          <w:jc w:val="center"/>
        </w:trPr>
        <w:tc>
          <w:tcPr>
            <w:tcW w:w="1005" w:type="dxa"/>
            <w:tcMar>
              <w:top w:w="100" w:type="dxa"/>
              <w:left w:w="100" w:type="dxa"/>
              <w:bottom w:w="100" w:type="dxa"/>
              <w:right w:w="100" w:type="dxa"/>
            </w:tcMar>
          </w:tcPr>
          <w:p w14:paraId="24907BAF" w14:textId="77777777" w:rsidR="00AC1746" w:rsidRDefault="00AC1746" w:rsidP="00487669">
            <w:pPr>
              <w:widowControl w:val="0"/>
              <w:spacing w:line="240" w:lineRule="auto"/>
              <w:rPr>
                <w:rFonts w:ascii="EB Garamond" w:eastAsia="EB Garamond" w:hAnsi="EB Garamond" w:cs="EB Garamond"/>
                <w:sz w:val="24"/>
                <w:szCs w:val="24"/>
              </w:rPr>
            </w:pPr>
          </w:p>
        </w:tc>
        <w:tc>
          <w:tcPr>
            <w:tcW w:w="6006" w:type="dxa"/>
            <w:tcMar>
              <w:top w:w="100" w:type="dxa"/>
              <w:left w:w="100" w:type="dxa"/>
              <w:bottom w:w="100" w:type="dxa"/>
              <w:right w:w="100" w:type="dxa"/>
            </w:tcMar>
          </w:tcPr>
          <w:p w14:paraId="55E5A1E5"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Internal assessment guidelines, end semester examination guidelines and tentative week of examination should be informed to the candidates of hybrid </w:t>
            </w:r>
            <w:proofErr w:type="spellStart"/>
            <w:r>
              <w:rPr>
                <w:rFonts w:ascii="EB Garamond" w:eastAsia="EB Garamond" w:hAnsi="EB Garamond" w:cs="EB Garamond"/>
                <w:sz w:val="24"/>
                <w:szCs w:val="24"/>
              </w:rPr>
              <w:t>programmes</w:t>
            </w:r>
            <w:proofErr w:type="spellEnd"/>
            <w:r>
              <w:rPr>
                <w:rFonts w:ascii="EB Garamond" w:eastAsia="EB Garamond" w:hAnsi="EB Garamond" w:cs="EB Garamond"/>
                <w:sz w:val="24"/>
                <w:szCs w:val="24"/>
              </w:rPr>
              <w:t xml:space="preserve">. </w:t>
            </w:r>
          </w:p>
        </w:tc>
        <w:tc>
          <w:tcPr>
            <w:tcW w:w="2349" w:type="dxa"/>
            <w:tcMar>
              <w:top w:w="100" w:type="dxa"/>
              <w:left w:w="100" w:type="dxa"/>
              <w:bottom w:w="100" w:type="dxa"/>
              <w:right w:w="100" w:type="dxa"/>
            </w:tcMar>
          </w:tcPr>
          <w:p w14:paraId="6580A64E"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Concerned School Directors </w:t>
            </w:r>
          </w:p>
        </w:tc>
      </w:tr>
      <w:tr w:rsidR="00AC1746" w14:paraId="0D1D6191" w14:textId="77777777" w:rsidTr="00487669">
        <w:trPr>
          <w:jc w:val="center"/>
        </w:trPr>
        <w:tc>
          <w:tcPr>
            <w:tcW w:w="1005" w:type="dxa"/>
            <w:tcMar>
              <w:top w:w="100" w:type="dxa"/>
              <w:left w:w="100" w:type="dxa"/>
              <w:bottom w:w="100" w:type="dxa"/>
              <w:right w:w="100" w:type="dxa"/>
            </w:tcMar>
          </w:tcPr>
          <w:p w14:paraId="218ADFAC"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279.11</w:t>
            </w:r>
          </w:p>
        </w:tc>
        <w:tc>
          <w:tcPr>
            <w:tcW w:w="6006" w:type="dxa"/>
            <w:tcMar>
              <w:top w:w="100" w:type="dxa"/>
              <w:left w:w="100" w:type="dxa"/>
              <w:bottom w:w="100" w:type="dxa"/>
              <w:right w:w="100" w:type="dxa"/>
            </w:tcMar>
          </w:tcPr>
          <w:p w14:paraId="67B38F17"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Complete the practical examination before the 24th Nov and ensure that the result should be submitted to the examination section. Requested for the intern for ERP of examination </w:t>
            </w:r>
            <w:r>
              <w:rPr>
                <w:rFonts w:ascii="EB Garamond" w:eastAsia="EB Garamond" w:hAnsi="EB Garamond" w:cs="EB Garamond"/>
                <w:sz w:val="24"/>
                <w:szCs w:val="24"/>
              </w:rPr>
              <w:lastRenderedPageBreak/>
              <w:t xml:space="preserve">which is approved. </w:t>
            </w:r>
          </w:p>
        </w:tc>
        <w:tc>
          <w:tcPr>
            <w:tcW w:w="2349" w:type="dxa"/>
            <w:tcMar>
              <w:top w:w="100" w:type="dxa"/>
              <w:left w:w="100" w:type="dxa"/>
              <w:bottom w:w="100" w:type="dxa"/>
              <w:right w:w="100" w:type="dxa"/>
            </w:tcMar>
          </w:tcPr>
          <w:p w14:paraId="6E855BBD"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lastRenderedPageBreak/>
              <w:t xml:space="preserve">Registrar </w:t>
            </w:r>
          </w:p>
        </w:tc>
      </w:tr>
      <w:tr w:rsidR="00AC1746" w14:paraId="729A11EC" w14:textId="77777777" w:rsidTr="00487669">
        <w:trPr>
          <w:jc w:val="center"/>
        </w:trPr>
        <w:tc>
          <w:tcPr>
            <w:tcW w:w="1005" w:type="dxa"/>
            <w:tcMar>
              <w:top w:w="100" w:type="dxa"/>
              <w:left w:w="100" w:type="dxa"/>
              <w:bottom w:w="100" w:type="dxa"/>
              <w:right w:w="100" w:type="dxa"/>
            </w:tcMar>
          </w:tcPr>
          <w:p w14:paraId="3B34AD8D"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279.12</w:t>
            </w:r>
          </w:p>
        </w:tc>
        <w:tc>
          <w:tcPr>
            <w:tcW w:w="6006" w:type="dxa"/>
            <w:tcMar>
              <w:top w:w="100" w:type="dxa"/>
              <w:left w:w="100" w:type="dxa"/>
              <w:bottom w:w="100" w:type="dxa"/>
              <w:right w:w="100" w:type="dxa"/>
            </w:tcMar>
          </w:tcPr>
          <w:p w14:paraId="6EF2C4B3"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Complete the process of school level scholarship by this week.</w:t>
            </w:r>
          </w:p>
        </w:tc>
        <w:tc>
          <w:tcPr>
            <w:tcW w:w="2349" w:type="dxa"/>
            <w:tcMar>
              <w:top w:w="100" w:type="dxa"/>
              <w:left w:w="100" w:type="dxa"/>
              <w:bottom w:w="100" w:type="dxa"/>
              <w:right w:w="100" w:type="dxa"/>
            </w:tcMar>
          </w:tcPr>
          <w:p w14:paraId="7270F5FE" w14:textId="77777777" w:rsidR="00AC1746" w:rsidRDefault="00AC1746" w:rsidP="00487669">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School Directors </w:t>
            </w:r>
          </w:p>
        </w:tc>
      </w:tr>
    </w:tbl>
    <w:p w14:paraId="1B6B309D" w14:textId="77777777" w:rsidR="00D073E1" w:rsidRDefault="00D073E1"/>
    <w:sectPr w:rsidR="00D073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B Garamond">
    <w:charset w:val="00"/>
    <w:family w:val="auto"/>
    <w:pitch w:val="variable"/>
    <w:sig w:usb0="E00002FF" w:usb1="020004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746"/>
    <w:rsid w:val="00757A93"/>
    <w:rsid w:val="00A878F9"/>
    <w:rsid w:val="00AC1746"/>
    <w:rsid w:val="00D073E1"/>
    <w:rsid w:val="00F330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8D5D5"/>
  <w15:chartTrackingRefBased/>
  <w15:docId w15:val="{0BEDE102-2F0F-4C3F-A130-525E634BE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746"/>
    <w:pPr>
      <w:spacing w:after="0" w:line="276" w:lineRule="auto"/>
    </w:pPr>
    <w:rPr>
      <w:rFonts w:ascii="Arial" w:eastAsia="Arial" w:hAnsi="Arial" w:cs="Arial"/>
      <w:kern w:val="0"/>
      <w:sz w:val="22"/>
      <w:szCs w:val="22"/>
      <w:lang w:val="en" w:eastAsia="en-IN"/>
      <w14:ligatures w14:val="none"/>
    </w:rPr>
  </w:style>
  <w:style w:type="paragraph" w:styleId="Heading1">
    <w:name w:val="heading 1"/>
    <w:basedOn w:val="Normal"/>
    <w:next w:val="Normal"/>
    <w:link w:val="Heading1Char"/>
    <w:uiPriority w:val="9"/>
    <w:qFormat/>
    <w:rsid w:val="00AC1746"/>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rsid w:val="00AC1746"/>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AC1746"/>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AC1746"/>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IN" w:eastAsia="en-US"/>
      <w14:ligatures w14:val="standardContextual"/>
    </w:rPr>
  </w:style>
  <w:style w:type="paragraph" w:styleId="Heading5">
    <w:name w:val="heading 5"/>
    <w:basedOn w:val="Normal"/>
    <w:next w:val="Normal"/>
    <w:link w:val="Heading5Char"/>
    <w:uiPriority w:val="9"/>
    <w:semiHidden/>
    <w:unhideWhenUsed/>
    <w:qFormat/>
    <w:rsid w:val="00AC1746"/>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IN" w:eastAsia="en-US"/>
      <w14:ligatures w14:val="standardContextual"/>
    </w:rPr>
  </w:style>
  <w:style w:type="paragraph" w:styleId="Heading6">
    <w:name w:val="heading 6"/>
    <w:basedOn w:val="Normal"/>
    <w:next w:val="Normal"/>
    <w:link w:val="Heading6Char"/>
    <w:uiPriority w:val="9"/>
    <w:semiHidden/>
    <w:unhideWhenUsed/>
    <w:qFormat/>
    <w:rsid w:val="00AC1746"/>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IN" w:eastAsia="en-US"/>
      <w14:ligatures w14:val="standardContextual"/>
    </w:rPr>
  </w:style>
  <w:style w:type="paragraph" w:styleId="Heading7">
    <w:name w:val="heading 7"/>
    <w:basedOn w:val="Normal"/>
    <w:next w:val="Normal"/>
    <w:link w:val="Heading7Char"/>
    <w:uiPriority w:val="9"/>
    <w:semiHidden/>
    <w:unhideWhenUsed/>
    <w:qFormat/>
    <w:rsid w:val="00AC1746"/>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IN" w:eastAsia="en-US"/>
      <w14:ligatures w14:val="standardContextual"/>
    </w:rPr>
  </w:style>
  <w:style w:type="paragraph" w:styleId="Heading8">
    <w:name w:val="heading 8"/>
    <w:basedOn w:val="Normal"/>
    <w:next w:val="Normal"/>
    <w:link w:val="Heading8Char"/>
    <w:uiPriority w:val="9"/>
    <w:semiHidden/>
    <w:unhideWhenUsed/>
    <w:qFormat/>
    <w:rsid w:val="00AC1746"/>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IN" w:eastAsia="en-US"/>
      <w14:ligatures w14:val="standardContextual"/>
    </w:rPr>
  </w:style>
  <w:style w:type="paragraph" w:styleId="Heading9">
    <w:name w:val="heading 9"/>
    <w:basedOn w:val="Normal"/>
    <w:next w:val="Normal"/>
    <w:link w:val="Heading9Char"/>
    <w:uiPriority w:val="9"/>
    <w:semiHidden/>
    <w:unhideWhenUsed/>
    <w:qFormat/>
    <w:rsid w:val="00AC1746"/>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7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17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17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17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17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17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7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7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746"/>
    <w:rPr>
      <w:rFonts w:eastAsiaTheme="majorEastAsia" w:cstheme="majorBidi"/>
      <w:color w:val="272727" w:themeColor="text1" w:themeTint="D8"/>
    </w:rPr>
  </w:style>
  <w:style w:type="paragraph" w:styleId="Title">
    <w:name w:val="Title"/>
    <w:basedOn w:val="Normal"/>
    <w:next w:val="Normal"/>
    <w:link w:val="TitleChar"/>
    <w:uiPriority w:val="10"/>
    <w:qFormat/>
    <w:rsid w:val="00AC1746"/>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AC17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74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AC17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746"/>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eastAsia="en-US"/>
      <w14:ligatures w14:val="standardContextual"/>
    </w:rPr>
  </w:style>
  <w:style w:type="character" w:customStyle="1" w:styleId="QuoteChar">
    <w:name w:val="Quote Char"/>
    <w:basedOn w:val="DefaultParagraphFont"/>
    <w:link w:val="Quote"/>
    <w:uiPriority w:val="29"/>
    <w:rsid w:val="00AC1746"/>
    <w:rPr>
      <w:i/>
      <w:iCs/>
      <w:color w:val="404040" w:themeColor="text1" w:themeTint="BF"/>
    </w:rPr>
  </w:style>
  <w:style w:type="paragraph" w:styleId="ListParagraph">
    <w:name w:val="List Paragraph"/>
    <w:basedOn w:val="Normal"/>
    <w:uiPriority w:val="34"/>
    <w:qFormat/>
    <w:rsid w:val="00AC1746"/>
    <w:pPr>
      <w:spacing w:after="160" w:line="278" w:lineRule="auto"/>
      <w:ind w:left="720"/>
      <w:contextualSpacing/>
    </w:pPr>
    <w:rPr>
      <w:rFonts w:asciiTheme="minorHAnsi" w:eastAsiaTheme="minorHAnsi" w:hAnsiTheme="minorHAnsi" w:cstheme="minorBidi"/>
      <w:kern w:val="2"/>
      <w:sz w:val="24"/>
      <w:szCs w:val="24"/>
      <w:lang w:val="en-IN" w:eastAsia="en-US"/>
      <w14:ligatures w14:val="standardContextual"/>
    </w:rPr>
  </w:style>
  <w:style w:type="character" w:styleId="IntenseEmphasis">
    <w:name w:val="Intense Emphasis"/>
    <w:basedOn w:val="DefaultParagraphFont"/>
    <w:uiPriority w:val="21"/>
    <w:qFormat/>
    <w:rsid w:val="00AC1746"/>
    <w:rPr>
      <w:i/>
      <w:iCs/>
      <w:color w:val="2F5496" w:themeColor="accent1" w:themeShade="BF"/>
    </w:rPr>
  </w:style>
  <w:style w:type="paragraph" w:styleId="IntenseQuote">
    <w:name w:val="Intense Quote"/>
    <w:basedOn w:val="Normal"/>
    <w:next w:val="Normal"/>
    <w:link w:val="IntenseQuoteChar"/>
    <w:uiPriority w:val="30"/>
    <w:qFormat/>
    <w:rsid w:val="00AC1746"/>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IN" w:eastAsia="en-US"/>
      <w14:ligatures w14:val="standardContextual"/>
    </w:rPr>
  </w:style>
  <w:style w:type="character" w:customStyle="1" w:styleId="IntenseQuoteChar">
    <w:name w:val="Intense Quote Char"/>
    <w:basedOn w:val="DefaultParagraphFont"/>
    <w:link w:val="IntenseQuote"/>
    <w:uiPriority w:val="30"/>
    <w:rsid w:val="00AC1746"/>
    <w:rPr>
      <w:i/>
      <w:iCs/>
      <w:color w:val="2F5496" w:themeColor="accent1" w:themeShade="BF"/>
    </w:rPr>
  </w:style>
  <w:style w:type="character" w:styleId="IntenseReference">
    <w:name w:val="Intense Reference"/>
    <w:basedOn w:val="DefaultParagraphFont"/>
    <w:uiPriority w:val="32"/>
    <w:qFormat/>
    <w:rsid w:val="00AC17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284</Words>
  <Characters>1625</Characters>
  <Application>Microsoft Office Word</Application>
  <DocSecurity>0</DocSecurity>
  <Lines>13</Lines>
  <Paragraphs>3</Paragraphs>
  <ScaleCrop>false</ScaleCrop>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 Vaidya VCO</dc:creator>
  <cp:keywords/>
  <dc:description/>
  <cp:lastModifiedBy>Madhuri Vaidya VCO</cp:lastModifiedBy>
  <cp:revision>1</cp:revision>
  <dcterms:created xsi:type="dcterms:W3CDTF">2026-03-24T08:16:00Z</dcterms:created>
  <dcterms:modified xsi:type="dcterms:W3CDTF">2026-03-24T08:17:00Z</dcterms:modified>
</cp:coreProperties>
</file>