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 AGREEMENT (MSA-2026)</w:t>
      </w:r>
    </w:p>
    <w:p>
      <w:r>
        <w:t>Paragraph 1: This Agreement is effective as of January 1, 2026 by and between Provider and Client.</w:t>
      </w:r>
    </w:p>
    <w:p>
      <w:r>
        <w:t>Paragraph 2: Section 3.1 Termination Notice: Either party may terminate this Agreement upon providing 30 days prior written notice.</w:t>
      </w:r>
    </w:p>
    <w:p>
      <w:r>
        <w:t>Paragraph 3: Section 4.2 Payment Terms: All undisputed invoices shall be settled within 45 calendar days of receipt.</w:t>
      </w:r>
    </w:p>
    <w:p>
      <w:r>
        <w:t>Paragraph 4: Section 5.1 Service Credits: Failure to achieve 99.9% uptime triggers a fixed service penalty of $15,000 per billing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