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C57"/>
          <w:sz w:val="28"/>
        </w:rPr>
        <w:t>GOVERNMENT OF INDIA</w:t>
        <w:br/>
        <w:t>NATIONAL e-GOVERNANCE DIVISION (NeGD)</w:t>
        <w:br/>
        <w:t>Ministry of Electronics and Information Technology (MeitY)</w:t>
      </w:r>
    </w:p>
    <w:p>
      <w:r>
        <w:rPr>
          <w:b/>
          <w:color w:val="475569"/>
          <w:sz w:val="22"/>
        </w:rPr>
        <w:t>NOTICE INVITING TENDER (NIT) &amp; REQUEST FOR PROPOSAL (RFP)</w:t>
        <w:br/>
        <w:t>Tender Ref: NeGD/RFP/2026/AI-CITIZEN/114 | GeM Bid No: GEM/2026/B/7719203</w:t>
        <w:br/>
        <w:t>Date of Issue: 08-October-2026</w:t>
      </w:r>
    </w:p>
    <w:p>
      <w:pPr>
        <w:pStyle w:val="Heading1"/>
      </w:pPr>
      <w:r>
        <w:t>1. ASSIGNMENT TITLE &amp; EXECUTIVE SUMMARY</w:t>
      </w:r>
    </w:p>
    <w:p>
      <w:r>
        <w:t>Request for Proposal (RFP) for Selection of Master System Integrator (MSI) for Architecture Redesign, Cloud Migration, and 36 Months 24x7 Operations of AI-Powered National Citizen Service &amp; Grievance Redressal Portal.</w:t>
      </w:r>
    </w:p>
    <w:p>
      <w:pPr>
        <w:pStyle w:val="Heading1"/>
      </w:pPr>
      <w:r>
        <w:t>2. CRITICAL DATES &amp; SUBMISSION DEADLINES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RFP Document Download Start Date</w:t>
            </w:r>
          </w:p>
        </w:tc>
        <w:tc>
          <w:tcPr>
            <w:tcW w:type="dxa" w:w="4680"/>
          </w:tcPr>
          <w:p>
            <w:r>
              <w:t>08-October-2026, 10:00 Hrs</w:t>
            </w:r>
          </w:p>
        </w:tc>
      </w:tr>
      <w:tr>
        <w:tc>
          <w:tcPr>
            <w:tcW w:type="dxa" w:w="4680"/>
          </w:tcPr>
          <w:p>
            <w:r>
              <w:t>Pre-Bid Meeting Date &amp; Time</w:t>
            </w:r>
          </w:p>
        </w:tc>
        <w:tc>
          <w:tcPr>
            <w:tcW w:type="dxa" w:w="4680"/>
          </w:tcPr>
          <w:p>
            <w:r>
              <w:t>21-October-2026, 11:30 Hrs (Hybrid - VC Link &amp; Conference Room)</w:t>
            </w:r>
          </w:p>
        </w:tc>
      </w:tr>
      <w:tr>
        <w:tc>
          <w:tcPr>
            <w:tcW w:type="dxa" w:w="4680"/>
          </w:tcPr>
          <w:p>
            <w:r>
              <w:t>Last Date for Seeking Clarifications</w:t>
            </w:r>
          </w:p>
        </w:tc>
        <w:tc>
          <w:tcPr>
            <w:tcW w:type="dxa" w:w="4680"/>
          </w:tcPr>
          <w:p>
            <w:r>
              <w:t>24-October-2026, 17:00 Hrs</w:t>
            </w:r>
          </w:p>
        </w:tc>
      </w:tr>
      <w:tr>
        <w:tc>
          <w:tcPr>
            <w:tcW w:type="dxa" w:w="4680"/>
          </w:tcPr>
          <w:p>
            <w:r>
              <w:t>Issue of Corrigendum / Clarifications</w:t>
            </w:r>
          </w:p>
        </w:tc>
        <w:tc>
          <w:tcPr>
            <w:tcW w:type="dxa" w:w="4680"/>
          </w:tcPr>
          <w:p>
            <w:r>
              <w:t>27-October-2026, 18:00 Hrs</w:t>
            </w:r>
          </w:p>
        </w:tc>
      </w:tr>
      <w:tr>
        <w:tc>
          <w:tcPr>
            <w:tcW w:type="dxa" w:w="4680"/>
          </w:tcPr>
          <w:p>
            <w:r>
              <w:t>Bid Submission Due Date &amp; Time</w:t>
            </w:r>
          </w:p>
        </w:tc>
        <w:tc>
          <w:tcPr>
            <w:tcW w:type="dxa" w:w="4680"/>
          </w:tcPr>
          <w:p>
            <w:r>
              <w:t>05-November-2026, 15:00 Hrs</w:t>
            </w:r>
          </w:p>
        </w:tc>
      </w:tr>
      <w:tr>
        <w:tc>
          <w:tcPr>
            <w:tcW w:type="dxa" w:w="4680"/>
          </w:tcPr>
          <w:p>
            <w:r>
              <w:t>Technical Bid Opening Date &amp; Time</w:t>
            </w:r>
          </w:p>
        </w:tc>
        <w:tc>
          <w:tcPr>
            <w:tcW w:type="dxa" w:w="4680"/>
          </w:tcPr>
          <w:p>
            <w:r>
              <w:t>06-November-2026, 15:30 Hrs</w:t>
            </w:r>
          </w:p>
        </w:tc>
      </w:tr>
      <w:tr>
        <w:tc>
          <w:tcPr>
            <w:tcW w:type="dxa" w:w="4680"/>
          </w:tcPr>
          <w:p>
            <w:r>
              <w:t>Bid Validity Period</w:t>
            </w:r>
          </w:p>
        </w:tc>
        <w:tc>
          <w:tcPr>
            <w:tcW w:type="dxa" w:w="4680"/>
          </w:tcPr>
          <w:p>
            <w:r>
              <w:t>180 Days from Bid Submission Closing Date</w:t>
            </w:r>
          </w:p>
        </w:tc>
      </w:tr>
    </w:tbl>
    <w:p>
      <w:pPr>
        <w:pStyle w:val="Heading1"/>
      </w:pPr>
      <w:r>
        <w:t>3. FINANCIAL PARTICULARS &amp; BID SECURITY</w:t>
      </w:r>
    </w:p>
    <w:p>
      <w:r>
        <w:t>• Estimated Project Value: INR 16,50,00,000/- (Rupees Sixteen Crores Fifty Lakhs only).</w:t>
        <w:br/>
      </w:r>
      <w:r>
        <w:t>• Earnest Money Deposit (EMD): INR 33,00,000/- (Rupees Thirty Three Lakhs only) in the form of Bank Guarantee or Electronic Payment. (MSEs registered with Udyam and DPIIT Startups are exempt from EMD).</w:t>
        <w:br/>
      </w:r>
      <w:r>
        <w:t>• Tender Fee: INR 10,000/- (Non-refundable).</w:t>
        <w:br/>
      </w:r>
      <w:r>
        <w:t>• Performance Bank Guarantee (PBG): 3% of the Total Contract Value valid for 42 months.</w:t>
      </w:r>
    </w:p>
    <w:p>
      <w:pPr>
        <w:pStyle w:val="Heading1"/>
      </w:pPr>
      <w:r>
        <w:t>4. MINIMUM ELIGIBILITY &amp; QUALIFICATION CRITERIA</w:t>
      </w:r>
    </w:p>
    <w:p>
      <w:pPr>
        <w:pStyle w:val="Heading2"/>
      </w:pPr>
      <w:r>
        <w:t>4.1 Financial Eligibility Criteria:</w:t>
      </w:r>
    </w:p>
    <w:p>
      <w:r>
        <w:t>a) The Bidder must have an Average Annual Turnover of at least INR 25.00 Crores (Twenty Five Crores) across the last three audited financial years (FY 2021-22, FY 2022-23, and FY 2023-24).</w:t>
        <w:br/>
      </w:r>
      <w:r>
        <w:t>b) The Bidder must have a Positive Net Worth in each of the last three audited financial years.</w:t>
        <w:br/>
      </w:r>
      <w:r>
        <w:t>c) The Bidder must submit a Bank Solvency Certificate of minimum INR 6.00 Crores issued by a Scheduled Commercial Bank within 3 months of tender publication.</w:t>
        <w:br/>
      </w:r>
      <w:r>
        <w:t>d) Relaxation: 50% relaxation in Turnover criteria is applicable for registered MSEs and Startups as per DoE guidelines.</w:t>
      </w:r>
    </w:p>
    <w:p>
      <w:pPr>
        <w:pStyle w:val="Heading2"/>
      </w:pPr>
      <w:r>
        <w:t>4.2 Technical &amp; Prior Experience Criteria:</w:t>
      </w:r>
    </w:p>
    <w:p>
      <w:r>
        <w:t>a) The Bidder must be an incorporated legal entity in India for at least five (5) completed years.</w:t>
        <w:br/>
      </w:r>
      <w:r>
        <w:t>b) The Bidder must have successfully executed similar e-Governance / Cloud Portal assignments in Central/State Government, PSUs, or Municipal Corporations meeting either of the following conditions during the last 5 years:</w:t>
        <w:br/>
      </w:r>
      <w:r>
        <w:t xml:space="preserve">   - One completed work of similar nature valued at not less than INR 12.00 Crores; OR</w:t>
        <w:br/>
      </w:r>
      <w:r>
        <w:t xml:space="preserve">   - Two completed works of similar nature valued at not less than INR 8.00 Crores each; OR</w:t>
        <w:br/>
      </w:r>
      <w:r>
        <w:t xml:space="preserve">   - Three completed works of similar nature valued at not less than INR 5.00 Crores each.</w:t>
        <w:br/>
      </w:r>
      <w:r>
        <w:t>c) Satisfactory Work Completion Certificates signed by an authorized client officer must be enclosed.</w:t>
      </w:r>
    </w:p>
    <w:p>
      <w:pPr>
        <w:pStyle w:val="Heading2"/>
      </w:pPr>
      <w:r>
        <w:t>4.3 Quality &amp; Security Certifications:</w:t>
      </w:r>
    </w:p>
    <w:p>
      <w:r>
        <w:t>The Bidder must possess valid certificates as on the bid submission date:</w:t>
        <w:br/>
      </w:r>
      <w:r>
        <w:t>• ISO 9001:2015 (Quality Management System)</w:t>
        <w:br/>
      </w:r>
      <w:r>
        <w:t>• ISO 27001:2022 (Information Security Management System)</w:t>
        <w:br/>
      </w:r>
      <w:r>
        <w:t>• CMMI Level 3 (or above) for Services or Development</w:t>
        <w:br/>
      </w:r>
      <w:r>
        <w:t>• Valid GSTIN and PAN registration in India</w:t>
        <w:br/>
      </w:r>
      <w:r>
        <w:t>• Non-blacklisting undertaking on INR 100 Non-Judicial Stamp Paper</w:t>
      </w:r>
    </w:p>
    <w:p>
      <w:pPr>
        <w:pStyle w:val="Heading1"/>
      </w:pPr>
      <w:r>
        <w:t>5. SCOPE OF WORK &amp; TECHNICAL SPECIFICATIONS</w:t>
      </w:r>
    </w:p>
    <w:p>
      <w:r>
        <w:t>1. Cloud Migration: Containerization (Kubernetes) and migration of existing portals to MeitY-empanelled Cloud Service Provider.</w:t>
        <w:br/>
      </w:r>
      <w:r>
        <w:t>2. High Availability Database: Active-Active enterprise database cluster ensuring RPO &lt; 15 minutes and RTO &lt; 1 hour.</w:t>
        <w:br/>
      </w:r>
      <w:r>
        <w:t>3. AI Multilingual Citizen Services: Integration of Indic NLP chatbots and automated grievance routing in 12 languages.</w:t>
        <w:br/>
      </w:r>
      <w:r>
        <w:t>4. Digital Public Infrastructure (DPI) Integration: Seamless integration with Aadhaar e-KYC, DigiLocker, and Bharat BillPay.</w:t>
        <w:br/>
      </w:r>
      <w:r>
        <w:t>5. 24x7 Operations &amp; SLA: Continuous Tier-3 monitoring for 36 months with guaranteed 99.95% monthly uptime.</w:t>
        <w:br/>
      </w:r>
      <w:r>
        <w:t>6. Security Audits: Mandatory clearance of STQC and CERT-In empanelled cybersecurity audits prior to Go-Live.</w:t>
      </w:r>
    </w:p>
    <w:p>
      <w:pPr>
        <w:pStyle w:val="Heading1"/>
      </w:pPr>
      <w:r>
        <w:t>6. EVALUATION METHODOLOGY &amp; SUBMISSION CHECKLIST</w:t>
      </w:r>
    </w:p>
    <w:p>
      <w:r>
        <w:t>Bids will be evaluated under Quality and Cost Based Selection (QCBS) with 70% weightage to Technical Evaluation and 30% to Financial Evaluation. Minimum qualifying technical score is 75 marks.</w:t>
        <w:br/>
        <w:br/>
        <w:t>Mandatory Documents Checklist:</w:t>
        <w:br/>
        <w:t>• Annexure-A: Form of Bid &amp; Covering Letter</w:t>
        <w:br/>
        <w:t>• Annexure-B: EMD Guarantee / MSME Exemption Certificate</w:t>
        <w:br/>
        <w:t>• Annexure-C: Audited Balance Sheets and CA Turnover Certificate</w:t>
        <w:br/>
        <w:t>• Annexure-D: Past Experience Completion Certificates</w:t>
        <w:br/>
        <w:t>• Annexure-E: Proposed Technical Architecture &amp; Implementation Methodology</w:t>
        <w:br/>
        <w:t>• Annexure-F: Key Personnel Profiles (Project Director, Cloud Architect, Cyber Lead, QA Manager)</w:t>
        <w:br/>
        <w:t>• Annexure-G: Non-Blacklisting Affidavit and Integrity Pact</w:t>
        <w:br/>
        <w:t>• Annexure-H: Clause-by-Clause Compliance Matrix (Nil Deviations)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