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Engineering &amp; Production LLM Architecture</w:t>
      </w:r>
    </w:p>
    <w:p>
      <w:pPr>
        <w:pStyle w:val="Heading1"/>
      </w:pPr>
      <w:r>
        <w:t>1. Retrieval Augmented Generation (RAG) Fundamentals</w:t>
      </w:r>
    </w:p>
    <w:p>
      <w:r>
        <w:t>Retrieval Augmented Generation (RAG) optimizes the output of large language models by referencing an authoritative knowledge base outside of its training data before generating a response.</w:t>
      </w:r>
    </w:p>
    <w:p>
      <w:pPr>
        <w:pStyle w:val="ListBullet"/>
      </w:pPr>
      <w:r>
        <w:t>Key architectural stages include:</w:t>
      </w:r>
    </w:p>
    <w:p>
      <w:pPr>
        <w:pStyle w:val="ListBullet"/>
      </w:pPr>
      <w:r>
        <w:t>Document Chunking: Splitting source text with recursive character splitting or semantic boundary detection.</w:t>
      </w:r>
    </w:p>
    <w:p>
      <w:pPr>
        <w:pStyle w:val="ListBullet"/>
      </w:pPr>
      <w:r>
        <w:t>Vector Embedding: Generating dense vector embeddings using models such as text-embedding-3 or nomic-embed.</w:t>
      </w:r>
    </w:p>
    <w:p>
      <w:pPr>
        <w:pStyle w:val="ListBullet"/>
      </w:pPr>
      <w:r>
        <w:t>Indexing &amp; Search: Storing vectors in HNSW / IVF indexes (e.g., Pinecone, Chroma, Milvus, pgvector).</w:t>
      </w:r>
    </w:p>
    <w:p>
      <w:pPr>
        <w:pStyle w:val="ListBullet"/>
      </w:pPr>
      <w:r>
        <w:t>Re-ranking &amp; Synthesis: Employing cross-encoders (e.g. BGE-Reranker) before prompt injection.</w:t>
      </w:r>
    </w:p>
    <w:p>
      <w:pPr>
        <w:pStyle w:val="Heading1"/>
      </w:pPr>
      <w:r>
        <w:t>2. Core Latency &amp; Cost Trade-offs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Context Window / Latency</w:t>
            </w:r>
          </w:p>
        </w:tc>
        <w:tc>
          <w:tcPr>
            <w:tcW w:type="dxa" w:w="2880"/>
          </w:tcPr>
          <w:p>
            <w:r>
              <w:t>Cost &amp; Accuracy Impact</w:t>
            </w:r>
          </w:p>
        </w:tc>
      </w:tr>
      <w:tr>
        <w:tc>
          <w:tcPr>
            <w:tcW w:type="dxa" w:w="2880"/>
          </w:tcPr>
          <w:p>
            <w:r>
              <w:t>Naive RAG (Top-5 chunks)</w:t>
            </w:r>
          </w:p>
        </w:tc>
        <w:tc>
          <w:tcPr>
            <w:tcW w:type="dxa" w:w="2880"/>
          </w:tcPr>
          <w:p>
            <w:r>
              <w:t>Low Latency (~300ms)</w:t>
            </w:r>
          </w:p>
        </w:tc>
        <w:tc>
          <w:tcPr>
            <w:tcW w:type="dxa" w:w="2880"/>
          </w:tcPr>
          <w:p>
            <w:r>
              <w:t>Very Cost-Effective, Risk of missing context</w:t>
            </w:r>
          </w:p>
        </w:tc>
      </w:tr>
      <w:tr>
        <w:tc>
          <w:tcPr>
            <w:tcW w:type="dxa" w:w="2880"/>
          </w:tcPr>
          <w:p>
            <w:r>
              <w:t>Reranked Hybrid Search</w:t>
            </w:r>
          </w:p>
        </w:tc>
        <w:tc>
          <w:tcPr>
            <w:tcW w:type="dxa" w:w="2880"/>
          </w:tcPr>
          <w:p>
            <w:r>
              <w:t>Moderate Latency (~600ms)</w:t>
            </w:r>
          </w:p>
        </w:tc>
        <w:tc>
          <w:tcPr>
            <w:tcW w:type="dxa" w:w="2880"/>
          </w:tcPr>
          <w:p>
            <w:r>
              <w:t>Optimal Balance, ~92% answer accuracy</w:t>
            </w:r>
          </w:p>
        </w:tc>
      </w:tr>
      <w:tr>
        <w:tc>
          <w:tcPr>
            <w:tcW w:type="dxa" w:w="2880"/>
          </w:tcPr>
          <w:p>
            <w:r>
              <w:t>Full-Context Ingestion</w:t>
            </w:r>
          </w:p>
        </w:tc>
        <w:tc>
          <w:tcPr>
            <w:tcW w:type="dxa" w:w="2880"/>
          </w:tcPr>
          <w:p>
            <w:r>
              <w:t>High Latency (2s - 8s)</w:t>
            </w:r>
          </w:p>
        </w:tc>
        <w:tc>
          <w:tcPr>
            <w:tcW w:type="dxa" w:w="2880"/>
          </w:tcPr>
          <w:p>
            <w:r>
              <w:t>High Token Cost, needle-in-haystack degradation</w:t>
            </w:r>
          </w:p>
        </w:tc>
      </w:tr>
    </w:tbl>
    <w:p>
      <w:pPr>
        <w:pStyle w:val="Heading1"/>
      </w:pPr>
      <w:r>
        <w:t>3. Best Practices for Production Deployment</w:t>
      </w:r>
    </w:p>
    <w:p>
      <w:r>
        <w:t>Implement continuous eval harnesses (e.g. Ragas, TruLens) measuring Context Relevance, Faithfulness, and Answer Relevance. Cache recurring prompts using semantic redis caching.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