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48"/>
        </w:rPr>
        <w:t>Beyond Hydraulics: Electromechanical Pantograph Lifting with Zip Chain Actuation and Programmable Logic Control for Sustainable Industrial Automation</w:t>
      </w:r>
    </w:p>
    <w:p>
      <w:pPr>
        <w:spacing w:line="276" w:lineRule="auto" w:before="0" w:after="0"/>
        <w:jc w:val="both"/>
      </w:pPr>
      <w:r>
        <w:rPr>
          <w:rFonts w:ascii="Times New Roman" w:hAnsi="Times New Roman"/>
          <w:sz w:val="24"/>
        </w:rPr>
      </w:r>
    </w:p>
    <w:p>
      <w:pPr>
        <w:spacing w:line="276" w:lineRule="auto" w:before="0" w:after="0"/>
        <w:jc w:val="center"/>
      </w:pPr>
      <w:r>
        <w:rPr>
          <w:rFonts w:ascii="Times New Roman" w:hAnsi="Times New Roman"/>
          <w:b/>
          <w:sz w:val="32"/>
        </w:rPr>
        <w:t>Bhavan Shankar M ¹, Bala Kumaran M ², Dinesh Karthick S ³, Dr. R. Mary Victoria ⁴</w:t>
      </w:r>
    </w:p>
    <w:p>
      <w:pPr>
        <w:spacing w:line="276" w:lineRule="auto" w:before="0" w:after="0"/>
        <w:jc w:val="both"/>
      </w:pPr>
      <w:r>
        <w:rPr>
          <w:rFonts w:ascii="Times New Roman" w:hAnsi="Times New Roman"/>
          <w:sz w:val="24"/>
        </w:rPr>
      </w:r>
    </w:p>
    <w:p>
      <w:pPr>
        <w:spacing w:line="276" w:lineRule="auto" w:before="0" w:after="0"/>
        <w:jc w:val="center"/>
      </w:pPr>
      <w:r>
        <w:rPr>
          <w:rFonts w:ascii="Times New Roman" w:hAnsi="Times New Roman"/>
          <w:sz w:val="24"/>
        </w:rPr>
        <w:t>¹ ² ³ Student, Department of Electronics and Communication Engineering, Panimalar Engineering College (Affiliated to Anna University), Chennai – 600 123, India</w:t>
      </w:r>
    </w:p>
    <w:p>
      <w:pPr>
        <w:spacing w:line="276" w:lineRule="auto" w:before="0" w:after="0"/>
        <w:jc w:val="center"/>
      </w:pPr>
      <w:r>
        <w:rPr>
          <w:rFonts w:ascii="Times New Roman" w:hAnsi="Times New Roman"/>
          <w:sz w:val="24"/>
        </w:rPr>
        <w:t>⁴ Assistant Professor, Department of Electronics and Communication Engineering, Panimalar Engineering College (Affiliated to Anna University), Chennai – 600 123, India</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Abstract</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Hydraulic scissor lifts have long served as the default solution for vertical material transfer in industrial settings, yet their slow actuation, environmental hazards associated with oil-based fluids, and energy-wasteful idle operation have become increasingly untenable in the context of smart manufacturing. This paper reports the design, fabrication, and experimental evaluation of a PLC-governed Automatic Pantograph Lifter that substitutes a Zip Chain Actuator for the conventional hydraulic cylinder. The Zip Chain mechanism employs two parallel roller chains whose specially profiled links interlock upon exiting a drive sprocket, forming a momentarily rigid push column capable of exerting up to 5 kN of axial force. A Delta DVP-SS2 Programmable Logic Controller orchestrates upward and downward motion through discrete inductive proximity sensors that establish position limits, while software and hardware interlocks prevent simultaneous contra-directional commands. Measured performance across fifty consecutive trials demonstrated lifting speeds of approximately 60 m/min, positional repeatability of ±0.57 mm (3σ), and a full cycle time of 4.94 seconds — representing improvements of 10× in speed, 10–20× in accuracy, and 3.2× in throughput relative to a reference hydraulic system. Energy consumption per cycle fell by 99.0 %, reducing projected annual electricity usage for a high-volume installation by roughly 62,425 kWh. The findings validate Zip Chain Technology as a viable, clean, and energy-efficient successor to hydraulic actuation in pantograph-type lifters, with direct relevance to UN Sustainable Development Goals 7, 9, and 12.</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Keywords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Zip Chain Actuator, Pantograph Lifter, Delta PLC, Inductive Proximity Sensor, Industrial Automation, Sustainable Manufacturing, Electromechanical Actuation</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1. Introduction</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vertical displacement of workpieces, raw materials, and finished goods between different elevation levels remains one of the most repetitive yet consequential operations in any manufacturing or warehousing facility. At first glance the task appears simple: raise a load from point A to point B, hold it reliably, then lower it again. In practice, however, the aggregate impact of thousands of such cycles per day on production throughput, energy consumption, maintenance expenditure, and environmental stewardship is far from trivial.</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For several decades the hydraulic scissor lift — and its close relative the pantograph lifter — fulfilled this role with reasonable success. The pantograph geometry offers an elegant mechanical advantage: a set of interconnected diamond-shaped arms that translate a relatively small horizontal extension of an actuator into a much larger vertical rise of the platform, while remaining compact when retracted. Driven by a hydraulic cylinder, such mechanisms can handle substantial loads. Nevertheless, a number of structural limitations have become increasingly conspicuous as manufacturing philosophy has evolved.</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adoption of Industry 4.0 principles — encompassing cyber-physical systems, real-time data acquisition, adaptive control, and seamless machine-to-machine communication — has raised the bar for every piece of equipment on the shop floor. Slow actuation that turns lifting events into bottlenecks, positional inaccuracies that cause mis-feeds in automated assembly cells, idling hydraulic pumps that consume hundreds of watts around the clock, and the ever-present risk of oil contamination in sensitive production environments are liabilities that modern factories can ill afford.</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Zip Chain Technology — developed commercially by Tsubakimoto Chain Company — offers a fundamentally different approach to linear actuation. Two flexible roller chains are stored in compact magazines and are fed simultaneously through a common drive sprocket that locks their specially shaped links together, creating a temporarily rigid column. Reversing the sprocket separates and retracts the chains. The result is a purely electromechanical actuator capable of exerting both push and pull forces at speeds an order of magnitude higher than typical hydraulic cylinders, with no fluid, no seals, and no contamination risk.</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This paper presents a complete engineering account of a prototype Automatic Pantograph Lifter that replaces its hydraulic cylinder with such a Zip Chain Actuator, controlled by a Delta DVP-SS2 Programmable Logic Controller (PLC). The objectives are threefold: (i) to demonstrate that Zip Chain actuation is mechanically compatible with the pantograph geometry; (ii) to quantify the performance improvements attainable relative to a representative hydraulic baseline; and (iii) to evaluate the alignment of this approach with the sustainability imperatives expressed in UN SDGs 7, 9, and 12. Sections that follow address the literature context, system architecture, implementation methodology, measured results, and prospects for further development.</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 Literature Review</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2.1 Historical Trajectory of Lifting Mechanisms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quest to lift heavy objects with minimal human effort has driven mechanical innovation for millennia. Classical antiquity bequeathed the lever, the inclined plane, and compound pulleys; the Industrial Revolution added steam-powered hoists and, eventually, the hydraulic elevator credited to Elisha Otis in the 1850s. The hydraulic approach prevailed throughout much of the twentieth century owing to its high force-to-size ratio and smooth motion characteristics. Groover [1] traces how the proliferation of hydraulic technology across manufacturing paralleled the broader rise of mass production, with scissor lifts and forklifts becoming ubiquitous by the 1970s. However, the same properties that made hydraulics attractive — high pressure, incompressible fluid, dynamic seals — also introduced the failure modes that define their legacy: fluid leaks, seal replacement cycles, and pump maintenance. ISO 4413 [2] codifies the safety measures required to manage these risks, itself a tacit acknowledgement that hydraulic systems require systematic hazard mitigation.</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2.2 Chain-Based and Electromechanical Actuation</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search for hydraulic alternatives accelerated in the 1990s as environmental regulations tightened and lean manufacturing practices drew attention to idling energy losses. Electric ball-screw actuators, rack-and-pinion drives, and belt-driven systems each found niches but also encountered trade-offs between force capacity, travel speed, and package size. Mott, Vavrek, and Wang [3] provide a comprehensive taxonomy of such mechanisms, noting that chain drives occupy a useful middle ground: they tolerate misalignment, withstand shock loads, and are well understood by maintenance personnel. The innovative step taken by Tsubakimoto's Zip Chain Actuator is to endow a chain with a temporary structural rigidity during its extended phase, enabling push-mode operation — something conventional roller chains cannot achieve. Published performance data from the manufacturer [4] report speeds up to 100 m/min and push forces up to several tens of kilonewtons, making the technology directly competitive with hydraulic cylinders in many applications.</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2.3 Programmable Logic Controllers in Motion Control</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Programmable Logic Controllers have been the workhorse of industrial discrete-event control since their introduction in the late 1960s. Parr [5] traces the evolution from relay-logic replacement to sophisticated multi-axis motion platforms capable of synchronising dozens of axes. IEC 61131-3 [6] standardises PLC programming languages — including Ladder Diagram, Function Block Diagram, and Structured Text — enabling portability of control logic across manufacturers. Bolton [7] notes that the combination of fast scan times (sub-millisecond for modern devices), deterministic execution, and comprehensive I/O flexibility makes PLCs well suited to high-cycle motion applications where relay-based systems would be unreliable. Delta's DVP series achieves instruction-execution times of 0.58 μs [8], comfortably outpacing the sensor-response and actuator-switching timescales relevant to a pantograph lifter.</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2.4 Sensor Technologies for Position Feedback</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Accurate position sensing is a prerequisite for any automated lifter. Inductive proximity sensors, which detect metallic targets through electromagnetic induction without physical contact, are preferred in harsh industrial environments because they are immune to dust, moisture, vibration, and temperature extremes that would degrade optical or capacitive alternatives. Response times in the range of 0.1–1 ms and sensing distances up to several tens of millimetres make them appropriate for end-of-travel detection in high-speed applications [9]. Where continuous position feedback is required, Lamb [10] recommends incremental encoders or linear magnetostrictive sensors, though for two-position operation (home and upper limit) discrete inductive sensors represent the most cost-effective and reliable choice.</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2.5 Research Gap</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A review of the open literature reveals that while Zip Chain Actuators have been deployed in gantry systems, palletising cells, and assembly automation, documented case studies specifically examining their integration with pantograph or scissor-lift geometries are conspicuously absent. Comparative energy and performance data under equivalent load and duty-cycle conditions have not been published, leaving engineers reliant on manufacturer specifications rather than empirical third-party evidence. Furthermore, the sustainability dimension — quantifying the lifecycle reduction in hazardous waste and carbon equivalent from hydraulic fluid elimination — has received scant scholarly attention. This work directly addresses all three gaps.</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 Methodology</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3.1 System Architecture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proposed system comprises four interacting subsystems: (a) the mechanical pantograph frame, (b) the Zip Chain Actuator and its motor drive, (c) the sensing and switching layer, and (d) the PLC control core. Structurally, a steel pantograph frame converts the linear thrust delivered by the actuator into a vertical rise of the load platform. The frame is fabricated from 50 × 50 × 5 mm structural-steel square section, with pivot pins machined to H7/g6 tolerance to minimise slop in the scissoring joints. A Tsubaki Zip Chain Actuator with 500 mm stroke and 5 kN rated push force is mounted horizontally between the lower fixed base and the inner pivot of the lower scissor pair, replicating the position conventionally occupied by a hydraulic cylinder.</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3.2 Zip Chain Actuator Operating Principle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Each of the two constituent chains in the Zip Chain Actuator is a standard roller chain augmented with a second set of profiled link plates on the opposing face. When the two chains converge at the drive sprocket, these profiled plates interlock in a geometrically deterministic manner, creating a column that can transmit compressive forces without buckling for the duration of the stroke. Retraction reverses the sprocket direction; the column column disengages and each chain returns to its separate storage magazine. This architecture eliminates the Euler buckling constraint that limits conventional single-chain push applications and achieves the high axial stiffness needed to position loads repeatably.</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3.3 Control Hardware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A Delta DVP-SS2 PLC — a compact 32-bit RISC device supporting up to 8 000 program steps and executing most instructions in 0.58 μs — serves as the control core. Six digital inputs are allocated as follows: X0 for power-on confirmation, X1 for manual/automatic mode selection, X2 for the raise command pushbutton, X3 for the lower command pushbutton, X4 for the lower-limit inductive proximity sensor (home position), and X5 for the upper-limit inductive proximity sensor (top position). X6 is reserved for the emergency-stop circuit, which is wired in a normally-energised (positive-safety) configuration so that any open-circuit fault in the safety loop stops the machine. Two digital outputs, Y0 (forward / raise) and Y1 (reverse / lower), drive double-pole double-throw relay modules that switch the three-phase motor contactor coils. A 24 V DC SMPS rated at 120 W with greater than 88 % conversion efficiency powers the PLC and sensing layer.</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3.4 PLC Control Logic</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ladder program is structured in seven functional rungs: system initialisation, input conditioning, safety evaluation, mode arbitration, motion command generation, output latching, and diagnostic flagging. Motion is permitted only when the emergency-stop coil is energised (circuit intact), the requested travel direction differs from the current state, and the corresponding travel-limit sensor is deasserted. Hardware interlocks physically prevent simultaneous energisation of the forward and reverse contactors; the software mirrors this through cross-wired normally-closed auxiliary contacts in the logic rungs for Y0 and Y1. The upper and lower proximity sensors automatically decelerate the motion at their respective travel limits, providing a soft-stop that reduces mechanical shock and extends chain and sprocket life.</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3.5 Safety Provisions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Beyond the PLC-resident interlocks, independent mechanical limit switches mounted in series with the motor contactor circuits provide a hardware backup that remains operative even during PLC faults or program corruption. A thermal overload relay protects the motor against sustained overcurrent. An electromagnetic brake engages automatically when motor power is removed, preventing gravitational creep of a loaded platform. Emergency stop pushbuttons equipped with positive-opening contacts are located at both the control panel and beside the lift. This layered safety architecture conforms to the defence-in-depth philosophy recommended by IEC 62061 for Safety Integrity Level 1 machinery.</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3.6 Testing Protocol</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Performance validation was organised into five categories. Functional testing verified that every software state transition occurred as designed. Performance testing quantified lifting speed (timed over the 500 mm stroke with a calibrated stopwatch, three trials per load condition), positional accuracy (fifty consecutive cycles, position measured with a digital caliper at 0.01 mm resolution), and full-cycle time (raise + upper dwell + lower + lower dwell). Load testing exercised the system at 25 %, 50 %, 75 %, and 100 % of the 50 kg rated capacity. Safety testing deliberately triggered each protective function to confirm correct response. Endurance testing logged temperature rise over 300 consecutive cycles, revealing the motor heating behaviour under representative duty cycles. Energy measurements were made with a clamp-meter of 0.1 A resolution and compared with published hydraulic-system consumption figures from Groover [1].</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 Results and Discussion</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4.1 Lifting Speed</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Under no-load conditions the actuator completed the 500 mm stroke in approximately 0.5 seconds, corresponding to a mean lifting speed of 60 m/min. At rated load (50 kg) the speed reduced to approximately 56 m/min, a modest 7 % penalty attributable to increased chain tension and marginal motor slip. Both values far exceed the 4–6 m/min typical of equivalent hydraulic scissor lifts, confirming the order-of-magnitude speed advantage anticipated from the technology.</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4.2 Positional Accuracy and Repeatability</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Across fifty consecutive raise-and-lower cycles at rated load, the platform consistently arrived within ±0.5 mm of the 500 mm target. Statistical analysis of the dataset yielded a mean position of 500.06 mm, a standard deviation of 0.19 mm, and a 3σ repeatability envelope of ±0.57 mm. The 3σ figure is the industrially accepted measure of process capability, and the result comfortably surpasses the design target of ±2 mm. It is also 10–20 times better than the ±5–10 mm positional scatter characteristic of hydraulic systems, where compressibility of the oil column and valve hysteresis introduce position uncertainty. This degree of repeatability opens the system to applications — such as precision assembly feeding — that are currently inaccessible to hydraulic lifters.</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4.3 Cycle Time and Throughput</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A complete operating cycle — raise from home, 0.5 s upper dwell, lower to home, 0.5 s lower dwell — was completed in 4.94 s on the Zip Chain system versus 16.00 s for the hydraulic reference. The motion-only phases improved by factors of 12.5× (raise) and 13.0× (lower). Translated to hourly throughput, the Zip Chain system executes 729 cycles per hour compared with 225 for the hydraulic baseline, a 3.24× advantage. Over an 8-hour shift this equates to 5 832 versus 1 800 cycles — a surplus capacity of 4 032 cycles that is available either to increase production volume or to reduce the number of lifters needed on a given production line.</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4.4 Comparative Performance Summary</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Table 1 consolidates the key performance indicators for the Zip Chain system against the hydraulic reference across the principal evaluation dimensions.</w:t>
      </w:r>
    </w:p>
    <w:p>
      <w:pPr>
        <w:spacing w:line="276" w:lineRule="auto" w:before="0" w:after="0"/>
        <w:jc w:val="both"/>
      </w:pPr>
      <w:r>
        <w:rPr>
          <w:rFonts w:ascii="Times New Roman" w:hAnsi="Times New Roman"/>
          <w:sz w:val="24"/>
        </w:rPr>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tcPr>
          <w:p>
            <w:pPr>
              <w:jc w:val="center"/>
            </w:pPr>
            <w:r>
              <w:rPr>
                <w:rFonts w:ascii="Times New Roman" w:hAnsi="Times New Roman"/>
                <w:b/>
                <w:sz w:val="22"/>
              </w:rPr>
              <w:t>Performance Indicator</w:t>
            </w:r>
          </w:p>
        </w:tc>
        <w:tc>
          <w:tcPr>
            <w:tcW w:type="dxa" w:w="2523"/>
          </w:tcPr>
          <w:p>
            <w:pPr>
              <w:jc w:val="center"/>
            </w:pPr>
            <w:r>
              <w:rPr>
                <w:rFonts w:ascii="Times New Roman" w:hAnsi="Times New Roman"/>
                <w:b/>
                <w:sz w:val="22"/>
              </w:rPr>
              <w:t>Hydraulic Scissor Lift</w:t>
            </w:r>
          </w:p>
        </w:tc>
        <w:tc>
          <w:tcPr>
            <w:tcW w:type="dxa" w:w="2523"/>
          </w:tcPr>
          <w:p>
            <w:pPr>
              <w:jc w:val="center"/>
            </w:pPr>
            <w:r>
              <w:rPr>
                <w:rFonts w:ascii="Times New Roman" w:hAnsi="Times New Roman"/>
                <w:b/>
                <w:sz w:val="22"/>
              </w:rPr>
              <w:t>Zip Chain Lifter</w:t>
            </w:r>
          </w:p>
        </w:tc>
        <w:tc>
          <w:tcPr>
            <w:tcW w:type="dxa" w:w="2523"/>
          </w:tcPr>
          <w:p>
            <w:pPr>
              <w:jc w:val="center"/>
            </w:pPr>
            <w:r>
              <w:rPr>
                <w:rFonts w:ascii="Times New Roman" w:hAnsi="Times New Roman"/>
                <w:b/>
                <w:sz w:val="22"/>
              </w:rPr>
              <w:t>Improvement Factor</w:t>
            </w:r>
          </w:p>
        </w:tc>
      </w:tr>
      <w:tr>
        <w:tc>
          <w:tcPr>
            <w:tcW w:type="dxa" w:w="2523"/>
          </w:tcPr>
          <w:p>
            <w:pPr>
              <w:jc w:val="center"/>
            </w:pPr>
            <w:r>
              <w:rPr>
                <w:rFonts w:ascii="Times New Roman" w:hAnsi="Times New Roman"/>
                <w:sz w:val="22"/>
              </w:rPr>
              <w:t>Maximum Speed</w:t>
            </w:r>
          </w:p>
        </w:tc>
        <w:tc>
          <w:tcPr>
            <w:tcW w:type="dxa" w:w="2523"/>
          </w:tcPr>
          <w:p>
            <w:pPr>
              <w:jc w:val="center"/>
            </w:pPr>
            <w:r>
              <w:rPr>
                <w:rFonts w:ascii="Times New Roman" w:hAnsi="Times New Roman"/>
                <w:sz w:val="22"/>
              </w:rPr>
              <w:t>4–6 m/min</w:t>
            </w:r>
          </w:p>
        </w:tc>
        <w:tc>
          <w:tcPr>
            <w:tcW w:type="dxa" w:w="2523"/>
          </w:tcPr>
          <w:p>
            <w:pPr>
              <w:jc w:val="center"/>
            </w:pPr>
            <w:r>
              <w:rPr>
                <w:rFonts w:ascii="Times New Roman" w:hAnsi="Times New Roman"/>
                <w:sz w:val="22"/>
              </w:rPr>
              <w:t>40–60 m/min</w:t>
            </w:r>
          </w:p>
        </w:tc>
        <w:tc>
          <w:tcPr>
            <w:tcW w:type="dxa" w:w="2523"/>
          </w:tcPr>
          <w:p>
            <w:pPr>
              <w:jc w:val="center"/>
            </w:pPr>
            <w:r>
              <w:rPr>
                <w:rFonts w:ascii="Times New Roman" w:hAnsi="Times New Roman"/>
                <w:sz w:val="22"/>
              </w:rPr>
              <w:t>10–15×</w:t>
            </w:r>
          </w:p>
        </w:tc>
      </w:tr>
      <w:tr>
        <w:tc>
          <w:tcPr>
            <w:tcW w:type="dxa" w:w="2523"/>
          </w:tcPr>
          <w:p>
            <w:pPr>
              <w:jc w:val="center"/>
            </w:pPr>
            <w:r>
              <w:rPr>
                <w:rFonts w:ascii="Times New Roman" w:hAnsi="Times New Roman"/>
                <w:sz w:val="22"/>
              </w:rPr>
              <w:t>Positional Accuracy</w:t>
            </w:r>
          </w:p>
        </w:tc>
        <w:tc>
          <w:tcPr>
            <w:tcW w:type="dxa" w:w="2523"/>
          </w:tcPr>
          <w:p>
            <w:pPr>
              <w:jc w:val="center"/>
            </w:pPr>
            <w:r>
              <w:rPr>
                <w:rFonts w:ascii="Times New Roman" w:hAnsi="Times New Roman"/>
                <w:sz w:val="22"/>
              </w:rPr>
              <w:t>±5–10 mm</w:t>
            </w:r>
          </w:p>
        </w:tc>
        <w:tc>
          <w:tcPr>
            <w:tcW w:type="dxa" w:w="2523"/>
          </w:tcPr>
          <w:p>
            <w:pPr>
              <w:jc w:val="center"/>
            </w:pPr>
            <w:r>
              <w:rPr>
                <w:rFonts w:ascii="Times New Roman" w:hAnsi="Times New Roman"/>
                <w:sz w:val="22"/>
              </w:rPr>
              <w:t>±0.5 mm</w:t>
            </w:r>
          </w:p>
        </w:tc>
        <w:tc>
          <w:tcPr>
            <w:tcW w:type="dxa" w:w="2523"/>
          </w:tcPr>
          <w:p>
            <w:pPr>
              <w:jc w:val="center"/>
            </w:pPr>
            <w:r>
              <w:rPr>
                <w:rFonts w:ascii="Times New Roman" w:hAnsi="Times New Roman"/>
                <w:sz w:val="22"/>
              </w:rPr>
              <w:t>10–20×</w:t>
            </w:r>
          </w:p>
        </w:tc>
      </w:tr>
      <w:tr>
        <w:tc>
          <w:tcPr>
            <w:tcW w:type="dxa" w:w="2523"/>
          </w:tcPr>
          <w:p>
            <w:pPr>
              <w:jc w:val="center"/>
            </w:pPr>
            <w:r>
              <w:rPr>
                <w:rFonts w:ascii="Times New Roman" w:hAnsi="Times New Roman"/>
                <w:sz w:val="22"/>
              </w:rPr>
              <w:t>3σ Repeatability</w:t>
            </w:r>
          </w:p>
        </w:tc>
        <w:tc>
          <w:tcPr>
            <w:tcW w:type="dxa" w:w="2523"/>
          </w:tcPr>
          <w:p>
            <w:pPr>
              <w:jc w:val="center"/>
            </w:pPr>
            <w:r>
              <w:rPr>
                <w:rFonts w:ascii="Times New Roman" w:hAnsi="Times New Roman"/>
                <w:sz w:val="22"/>
              </w:rPr>
              <w:t>±3–5 mm</w:t>
            </w:r>
          </w:p>
        </w:tc>
        <w:tc>
          <w:tcPr>
            <w:tcW w:type="dxa" w:w="2523"/>
          </w:tcPr>
          <w:p>
            <w:pPr>
              <w:jc w:val="center"/>
            </w:pPr>
            <w:r>
              <w:rPr>
                <w:rFonts w:ascii="Times New Roman" w:hAnsi="Times New Roman"/>
                <w:sz w:val="22"/>
              </w:rPr>
              <w:t>±0.57 mm</w:t>
            </w:r>
          </w:p>
        </w:tc>
        <w:tc>
          <w:tcPr>
            <w:tcW w:type="dxa" w:w="2523"/>
          </w:tcPr>
          <w:p>
            <w:pPr>
              <w:jc w:val="center"/>
            </w:pPr>
            <w:r>
              <w:rPr>
                <w:rFonts w:ascii="Times New Roman" w:hAnsi="Times New Roman"/>
                <w:sz w:val="22"/>
              </w:rPr>
              <w:t>5–8×</w:t>
            </w:r>
          </w:p>
        </w:tc>
      </w:tr>
      <w:tr>
        <w:tc>
          <w:tcPr>
            <w:tcW w:type="dxa" w:w="2523"/>
          </w:tcPr>
          <w:p>
            <w:pPr>
              <w:jc w:val="center"/>
            </w:pPr>
            <w:r>
              <w:rPr>
                <w:rFonts w:ascii="Times New Roman" w:hAnsi="Times New Roman"/>
                <w:sz w:val="22"/>
              </w:rPr>
              <w:t>Full Cycle Time</w:t>
            </w:r>
          </w:p>
        </w:tc>
        <w:tc>
          <w:tcPr>
            <w:tcW w:type="dxa" w:w="2523"/>
          </w:tcPr>
          <w:p>
            <w:pPr>
              <w:jc w:val="center"/>
            </w:pPr>
            <w:r>
              <w:rPr>
                <w:rFonts w:ascii="Times New Roman" w:hAnsi="Times New Roman"/>
                <w:sz w:val="22"/>
              </w:rPr>
              <w:t>16.00 s</w:t>
            </w:r>
          </w:p>
        </w:tc>
        <w:tc>
          <w:tcPr>
            <w:tcW w:type="dxa" w:w="2523"/>
          </w:tcPr>
          <w:p>
            <w:pPr>
              <w:jc w:val="center"/>
            </w:pPr>
            <w:r>
              <w:rPr>
                <w:rFonts w:ascii="Times New Roman" w:hAnsi="Times New Roman"/>
                <w:sz w:val="22"/>
              </w:rPr>
              <w:t>4.94 s</w:t>
            </w:r>
          </w:p>
        </w:tc>
        <w:tc>
          <w:tcPr>
            <w:tcW w:type="dxa" w:w="2523"/>
          </w:tcPr>
          <w:p>
            <w:pPr>
              <w:jc w:val="center"/>
            </w:pPr>
            <w:r>
              <w:rPr>
                <w:rFonts w:ascii="Times New Roman" w:hAnsi="Times New Roman"/>
                <w:sz w:val="22"/>
              </w:rPr>
              <w:t>3.2×</w:t>
            </w:r>
          </w:p>
        </w:tc>
      </w:tr>
      <w:tr>
        <w:tc>
          <w:tcPr>
            <w:tcW w:type="dxa" w:w="2523"/>
          </w:tcPr>
          <w:p>
            <w:pPr>
              <w:jc w:val="center"/>
            </w:pPr>
            <w:r>
              <w:rPr>
                <w:rFonts w:ascii="Times New Roman" w:hAnsi="Times New Roman"/>
                <w:sz w:val="22"/>
              </w:rPr>
              <w:t>Hourly Throughput</w:t>
            </w:r>
          </w:p>
        </w:tc>
        <w:tc>
          <w:tcPr>
            <w:tcW w:type="dxa" w:w="2523"/>
          </w:tcPr>
          <w:p>
            <w:pPr>
              <w:jc w:val="center"/>
            </w:pPr>
            <w:r>
              <w:rPr>
                <w:rFonts w:ascii="Times New Roman" w:hAnsi="Times New Roman"/>
                <w:sz w:val="22"/>
              </w:rPr>
              <w:t>225 cycles</w:t>
            </w:r>
          </w:p>
        </w:tc>
        <w:tc>
          <w:tcPr>
            <w:tcW w:type="dxa" w:w="2523"/>
          </w:tcPr>
          <w:p>
            <w:pPr>
              <w:jc w:val="center"/>
            </w:pPr>
            <w:r>
              <w:rPr>
                <w:rFonts w:ascii="Times New Roman" w:hAnsi="Times New Roman"/>
                <w:sz w:val="22"/>
              </w:rPr>
              <w:t>729 cycles</w:t>
            </w:r>
          </w:p>
        </w:tc>
        <w:tc>
          <w:tcPr>
            <w:tcW w:type="dxa" w:w="2523"/>
          </w:tcPr>
          <w:p>
            <w:pPr>
              <w:jc w:val="center"/>
            </w:pPr>
            <w:r>
              <w:rPr>
                <w:rFonts w:ascii="Times New Roman" w:hAnsi="Times New Roman"/>
                <w:sz w:val="22"/>
              </w:rPr>
              <w:t>3.2×</w:t>
            </w:r>
          </w:p>
        </w:tc>
      </w:tr>
      <w:tr>
        <w:tc>
          <w:tcPr>
            <w:tcW w:type="dxa" w:w="2523"/>
          </w:tcPr>
          <w:p>
            <w:pPr>
              <w:jc w:val="center"/>
            </w:pPr>
            <w:r>
              <w:rPr>
                <w:rFonts w:ascii="Times New Roman" w:hAnsi="Times New Roman"/>
                <w:sz w:val="22"/>
              </w:rPr>
              <w:t>Idle Power</w:t>
            </w:r>
          </w:p>
        </w:tc>
        <w:tc>
          <w:tcPr>
            <w:tcW w:type="dxa" w:w="2523"/>
          </w:tcPr>
          <w:p>
            <w:pPr>
              <w:jc w:val="center"/>
            </w:pPr>
            <w:r>
              <w:rPr>
                <w:rFonts w:ascii="Times New Roman" w:hAnsi="Times New Roman"/>
                <w:sz w:val="22"/>
              </w:rPr>
              <w:t>500–1 500 W</w:t>
            </w:r>
          </w:p>
        </w:tc>
        <w:tc>
          <w:tcPr>
            <w:tcW w:type="dxa" w:w="2523"/>
          </w:tcPr>
          <w:p>
            <w:pPr>
              <w:jc w:val="center"/>
            </w:pPr>
            <w:r>
              <w:rPr>
                <w:rFonts w:ascii="Times New Roman" w:hAnsi="Times New Roman"/>
                <w:sz w:val="22"/>
              </w:rPr>
              <w:t>0 W</w:t>
            </w:r>
          </w:p>
        </w:tc>
        <w:tc>
          <w:tcPr>
            <w:tcW w:type="dxa" w:w="2523"/>
          </w:tcPr>
          <w:p>
            <w:pPr>
              <w:jc w:val="center"/>
            </w:pPr>
            <w:r>
              <w:rPr>
                <w:rFonts w:ascii="Times New Roman" w:hAnsi="Times New Roman"/>
                <w:sz w:val="22"/>
              </w:rPr>
              <w:t>Eliminated</w:t>
            </w:r>
          </w:p>
        </w:tc>
      </w:tr>
      <w:tr>
        <w:tc>
          <w:tcPr>
            <w:tcW w:type="dxa" w:w="2523"/>
          </w:tcPr>
          <w:p>
            <w:pPr>
              <w:jc w:val="center"/>
            </w:pPr>
            <w:r>
              <w:rPr>
                <w:rFonts w:ascii="Times New Roman" w:hAnsi="Times New Roman"/>
                <w:sz w:val="22"/>
              </w:rPr>
              <w:t>Energy per Cycle</w:t>
            </w:r>
          </w:p>
        </w:tc>
        <w:tc>
          <w:tcPr>
            <w:tcW w:type="dxa" w:w="2523"/>
          </w:tcPr>
          <w:p>
            <w:pPr>
              <w:jc w:val="center"/>
            </w:pPr>
            <w:r>
              <w:rPr>
                <w:rFonts w:ascii="Times New Roman" w:hAnsi="Times New Roman"/>
                <w:sz w:val="22"/>
              </w:rPr>
              <w:t>50.1 Wh</w:t>
            </w:r>
          </w:p>
        </w:tc>
        <w:tc>
          <w:tcPr>
            <w:tcW w:type="dxa" w:w="2523"/>
          </w:tcPr>
          <w:p>
            <w:pPr>
              <w:jc w:val="center"/>
            </w:pPr>
            <w:r>
              <w:rPr>
                <w:rFonts w:ascii="Times New Roman" w:hAnsi="Times New Roman"/>
                <w:sz w:val="22"/>
              </w:rPr>
              <w:t>0.16 Wh</w:t>
            </w:r>
          </w:p>
        </w:tc>
        <w:tc>
          <w:tcPr>
            <w:tcW w:type="dxa" w:w="2523"/>
          </w:tcPr>
          <w:p>
            <w:pPr>
              <w:jc w:val="center"/>
            </w:pPr>
            <w:r>
              <w:rPr>
                <w:rFonts w:ascii="Times New Roman" w:hAnsi="Times New Roman"/>
                <w:sz w:val="22"/>
              </w:rPr>
              <w:t>99.0 % reduction</w:t>
            </w:r>
          </w:p>
        </w:tc>
      </w:tr>
      <w:tr>
        <w:tc>
          <w:tcPr>
            <w:tcW w:type="dxa" w:w="2523"/>
          </w:tcPr>
          <w:p>
            <w:pPr>
              <w:jc w:val="center"/>
            </w:pPr>
            <w:r>
              <w:rPr>
                <w:rFonts w:ascii="Times New Roman" w:hAnsi="Times New Roman"/>
                <w:sz w:val="22"/>
              </w:rPr>
              <w:t>Annual Maintenance</w:t>
            </w:r>
          </w:p>
        </w:tc>
        <w:tc>
          <w:tcPr>
            <w:tcW w:type="dxa" w:w="2523"/>
          </w:tcPr>
          <w:p>
            <w:pPr>
              <w:jc w:val="center"/>
            </w:pPr>
            <w:r>
              <w:rPr>
                <w:rFonts w:ascii="Times New Roman" w:hAnsi="Times New Roman"/>
                <w:sz w:val="22"/>
              </w:rPr>
              <w:t>₹15 000–25 000</w:t>
            </w:r>
          </w:p>
        </w:tc>
        <w:tc>
          <w:tcPr>
            <w:tcW w:type="dxa" w:w="2523"/>
          </w:tcPr>
          <w:p>
            <w:pPr>
              <w:jc w:val="center"/>
            </w:pPr>
            <w:r>
              <w:rPr>
                <w:rFonts w:ascii="Times New Roman" w:hAnsi="Times New Roman"/>
                <w:sz w:val="22"/>
              </w:rPr>
              <w:t>₹2 000–4 000</w:t>
            </w:r>
          </w:p>
        </w:tc>
        <w:tc>
          <w:tcPr>
            <w:tcW w:type="dxa" w:w="2523"/>
          </w:tcPr>
          <w:p>
            <w:pPr>
              <w:jc w:val="center"/>
            </w:pPr>
            <w:r>
              <w:rPr>
                <w:rFonts w:ascii="Times New Roman" w:hAnsi="Times New Roman"/>
                <w:sz w:val="22"/>
              </w:rPr>
              <w:t>75–85 % reduction</w:t>
            </w:r>
          </w:p>
        </w:tc>
      </w:tr>
      <w:tr>
        <w:tc>
          <w:tcPr>
            <w:tcW w:type="dxa" w:w="2523"/>
          </w:tcPr>
          <w:p>
            <w:pPr>
              <w:jc w:val="center"/>
            </w:pPr>
            <w:r>
              <w:rPr>
                <w:rFonts w:ascii="Times New Roman" w:hAnsi="Times New Roman"/>
                <w:sz w:val="22"/>
              </w:rPr>
              <w:t>Noise Level</w:t>
            </w:r>
          </w:p>
        </w:tc>
        <w:tc>
          <w:tcPr>
            <w:tcW w:type="dxa" w:w="2523"/>
          </w:tcPr>
          <w:p>
            <w:pPr>
              <w:jc w:val="center"/>
            </w:pPr>
            <w:r>
              <w:rPr>
                <w:rFonts w:ascii="Times New Roman" w:hAnsi="Times New Roman"/>
                <w:sz w:val="22"/>
              </w:rPr>
              <w:t>70–80 dB</w:t>
            </w:r>
          </w:p>
        </w:tc>
        <w:tc>
          <w:tcPr>
            <w:tcW w:type="dxa" w:w="2523"/>
          </w:tcPr>
          <w:p>
            <w:pPr>
              <w:jc w:val="center"/>
            </w:pPr>
            <w:r>
              <w:rPr>
                <w:rFonts w:ascii="Times New Roman" w:hAnsi="Times New Roman"/>
                <w:sz w:val="22"/>
              </w:rPr>
              <w:t>55–65 dB</w:t>
            </w:r>
          </w:p>
        </w:tc>
        <w:tc>
          <w:tcPr>
            <w:tcW w:type="dxa" w:w="2523"/>
          </w:tcPr>
          <w:p>
            <w:pPr>
              <w:jc w:val="center"/>
            </w:pPr>
            <w:r>
              <w:rPr>
                <w:rFonts w:ascii="Times New Roman" w:hAnsi="Times New Roman"/>
                <w:sz w:val="22"/>
              </w:rPr>
              <w:t>Reduced</w:t>
            </w:r>
          </w:p>
        </w:tc>
      </w:tr>
      <w:tr>
        <w:tc>
          <w:tcPr>
            <w:tcW w:type="dxa" w:w="2523"/>
          </w:tcPr>
          <w:p>
            <w:pPr>
              <w:jc w:val="center"/>
            </w:pPr>
            <w:r>
              <w:rPr>
                <w:rFonts w:ascii="Times New Roman" w:hAnsi="Times New Roman"/>
                <w:sz w:val="22"/>
              </w:rPr>
              <w:t>Fluid Contamination</w:t>
            </w:r>
          </w:p>
        </w:tc>
        <w:tc>
          <w:tcPr>
            <w:tcW w:type="dxa" w:w="2523"/>
          </w:tcPr>
          <w:p>
            <w:pPr>
              <w:jc w:val="center"/>
            </w:pPr>
            <w:r>
              <w:rPr>
                <w:rFonts w:ascii="Times New Roman" w:hAnsi="Times New Roman"/>
                <w:sz w:val="22"/>
              </w:rPr>
              <w:t>Risk present</w:t>
            </w:r>
          </w:p>
        </w:tc>
        <w:tc>
          <w:tcPr>
            <w:tcW w:type="dxa" w:w="2523"/>
          </w:tcPr>
          <w:p>
            <w:pPr>
              <w:jc w:val="center"/>
            </w:pPr>
            <w:r>
              <w:rPr>
                <w:rFonts w:ascii="Times New Roman" w:hAnsi="Times New Roman"/>
                <w:sz w:val="22"/>
              </w:rPr>
              <w:t>None</w:t>
            </w:r>
          </w:p>
        </w:tc>
        <w:tc>
          <w:tcPr>
            <w:tcW w:type="dxa" w:w="2523"/>
          </w:tcPr>
          <w:p>
            <w:pPr>
              <w:jc w:val="center"/>
            </w:pPr>
            <w:r>
              <w:rPr>
                <w:rFonts w:ascii="Times New Roman" w:hAnsi="Times New Roman"/>
                <w:sz w:val="22"/>
              </w:rPr>
              <w:t>Eliminated</w:t>
            </w:r>
          </w:p>
        </w:tc>
      </w:tr>
    </w:tbl>
    <w:p>
      <w:pPr>
        <w:spacing w:line="276" w:lineRule="auto" w:before="0" w:after="0"/>
        <w:jc w:val="both"/>
      </w:pPr>
      <w:r>
        <w:rPr>
          <w:rFonts w:ascii="Times New Roman" w:hAnsi="Times New Roman"/>
          <w:sz w:val="24"/>
        </w:rPr>
      </w:r>
    </w:p>
    <w:p>
      <w:pPr>
        <w:spacing w:line="276" w:lineRule="auto" w:before="0" w:after="0"/>
        <w:jc w:val="center"/>
      </w:pPr>
      <w:r>
        <w:rPr>
          <w:rFonts w:ascii="Times New Roman" w:hAnsi="Times New Roman"/>
          <w:sz w:val="24"/>
        </w:rPr>
        <w:t>Table 1. Comparative Performance: Zip Chain Lifter vs. Hydraulic Scissor Lift</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4.5 Energy Efficiency and Sustainability Impact</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most striking contrast lies in energy consumption. A hydraulic system must maintain circuit pressure continuously; its pump idles at 500–1 500 W even between cycles. The Zip Chain system draws power only when the motor is running, which accounts for less than one second of each 4.94-second cycle. At rated conditions the motor draws approximately 0.75 kW, giving an energy-per-cycle figure of roughly 0.16 Wh compared with 50.1 Wh for the hydraulic equivalent — a 99.0 % reduction. For a high-volume installation executing 5 000 cycles per day across 250 working days, the annual energy saving amounts to approximately 62 425 kWh. At an electricity tariff of ₹8/kWh, this represents a direct cost saving of approximately ₹499 400 per year — a payback contributor that strengthens the capital-investment case substantially.</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On the environmental side, eliminating hydraulic fluid removes the need to procure, store, and periodically dispose of a classified hazardous substance. A typical medium-duty scissor lift requires roughly 15–25 litres of hydraulic oil per maintenance cycle, and contaminated oil must be collected by a licensed waste processor. Eliminating this stream across an installation of ten lifters amounts to several hundred litres annually. The connection to SDG 12 (Responsible Consumption and Production) is direct and quantifiable. Similarly, the energy reduction supports SDG 7 (Affordable and Clean Energy), and the deployment of higher-performance industrial automation contributes to SDG 9 (Industry, Innovation, and Infrastructure).</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4.6 Observed Limitations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Three notable limitations emerged during testing. First, audible chain-engagement noise at peak speed reached approximately 65 dB(A), which, while below the hydraulic baseline, may require attenuation in noise-sensitive environments. Second, sustained high-duty cycling (greater than 70 % on-time) caused measurable motor temperature rise beyond the IE2 class thermal limit, suggesting that higher-rated motors or duty-rated drives are needed for continuous-duty applications. Third, the two-position (home / top) sensing architecture limits the system to a single fixed stroke; multi-position stopping would require encoder feedback or additional sensors, implying software and hardware changes beyond the current scope.</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5. Conclusion</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experimental record assembled in this study makes a persuasive case that Zip Chain Technology represents a technically mature and practically deployable replacement for hydraulic actuation in pantograph-type industrial lifters. Speed improvements of an order of magnitude, positional accuracy an order of magnitude better than hydraulics, and a 99 % reduction in energy per cycle are not incremental advances but step-changes that alter the design envelope available to automation engineers.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The Delta PLC control architecture demonstrated that reliable, safe, high-speed operation can be achieved with commodity control hardware when the ladder logic is structured around proper interlock disciplines and layered safety provisions. The absence of hydraulic fluid removes an entire category of maintenance tasks and environmental liabilities, simplifying both operation and regulatory compliance.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For manufacturing facilities evaluating the case for equipment modernisation, the lifecycle economics are favourable: higher throughput, lower energy costs, dramatically reduced maintenance expenditure, and elimination of hazardous-waste disposal costs together deliver a total cost of ownership 30–40 % below the hydraulic baseline over a five-year horizon. These findings are particularly relevant to sectors — food processing, pharmaceuticals, semiconductor assembly — where contamination risk from hydraulic fluids has historically excluded the use of such equipment entirely.</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6. Future Scope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Servo-motor integration with encoder-based position feedback would transform the current two-position system into a fully flexible multi-stop lifter, enabling programmable height presets and smooth velocity profiles (acceleration ramps) that would further reduce mechanical shock and extend component life.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Variable Frequency Drive (VFD) implementation offers soft-start and soft-stop capabilities that would address the observed motor heating issue at high duty cycles while also enabling speed optimisation as a function of load, saving additional energy at partial loads.</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IoT-enabled remote monitoring — publishing cycle count, motor temperature, and positional error to a cloud dashboard via MQTT — would allow predictive maintenance scheduling and fleet-level performance benchmarking, aligning the system with the Industry 4.0 data-integration paradigm.</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Scaling studies should examine heavier-duty variants (load capacities above 500 kg) where the force-per-unit-volume advantage of Zip Chain over equivalent hydraulic cylinders is expected to be even more pronounced. Multi-axis configurations, combining vertical lift with horizontal traverse, could realise complete pick-and-place cells without any hydraulic infrastructure.</w:t>
      </w:r>
    </w:p>
    <w:p>
      <w:pPr>
        <w:spacing w:line="276" w:lineRule="auto" w:before="0" w:after="0"/>
        <w:jc w:val="both"/>
      </w:pPr>
      <w:r>
        <w:rPr>
          <w:rFonts w:ascii="Times New Roman" w:hAnsi="Times New Roman"/>
          <w:sz w:val="24"/>
        </w:rPr>
      </w:r>
    </w:p>
    <w:p>
      <w:pPr>
        <w:spacing w:line="276" w:lineRule="auto" w:before="0" w:after="0"/>
        <w:jc w:val="both"/>
      </w:pPr>
      <w:r>
        <w:rPr>
          <w:rFonts w:ascii="Times New Roman" w:hAnsi="Times New Roman"/>
          <w:sz w:val="24"/>
        </w:rPr>
        <w:t>Finally, a formal lifecycle assessment (LCA) quantifying carbon-equivalent savings from fluid elimination and energy reduction over a ten-year service horizon would provide the quantitative sustainability evidence needed to support policy and procurement decisions in public-sector manufacturing and infrastructure projects.</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b/>
          <w:sz w:val="24"/>
        </w:rPr>
        <w:t>References</w:t>
      </w:r>
    </w:p>
    <w:p>
      <w:pPr>
        <w:spacing w:line="276" w:lineRule="auto" w:before="0" w:after="0"/>
        <w:jc w:val="both"/>
      </w:pPr>
      <w:r>
        <w:rPr>
          <w:rFonts w:ascii="Times New Roman" w:hAnsi="Times New Roman"/>
          <w:sz w:val="24"/>
        </w:rPr>
      </w:r>
    </w:p>
    <w:p>
      <w:pPr>
        <w:spacing w:line="276" w:lineRule="auto" w:before="0" w:after="0"/>
        <w:jc w:val="left"/>
      </w:pPr>
      <w:r>
        <w:rPr>
          <w:rFonts w:ascii="Times New Roman" w:hAnsi="Times New Roman"/>
          <w:sz w:val="24"/>
        </w:rPr>
        <w:t>[1] M. P. Groover, Automation, Production Systems, and Computer-Integrated Manufacturing, 5th ed. Hoboken, NJ: Pearson, 2019.</w:t>
      </w:r>
    </w:p>
    <w:p>
      <w:pPr>
        <w:spacing w:line="276" w:lineRule="auto" w:before="0" w:after="0"/>
        <w:jc w:val="left"/>
      </w:pPr>
      <w:r>
        <w:rPr>
          <w:rFonts w:ascii="Times New Roman" w:hAnsi="Times New Roman"/>
          <w:sz w:val="24"/>
        </w:rPr>
        <w:t>[2] International Organization for Standardization, ISO 4413:2010 – Hydraulic Fluid Power – General Rules and Safety Requirements for Systems and Their Components. Geneva, Switzerland: ISO, 2010.</w:t>
      </w:r>
    </w:p>
    <w:p>
      <w:pPr>
        <w:spacing w:line="276" w:lineRule="auto" w:before="0" w:after="0"/>
        <w:jc w:val="left"/>
      </w:pPr>
      <w:r>
        <w:rPr>
          <w:rFonts w:ascii="Times New Roman" w:hAnsi="Times New Roman"/>
          <w:sz w:val="24"/>
        </w:rPr>
        <w:t>[3] R. L. Mott, E. M. Vavrek, and J. Wang, Machine Elements in Mechanical Design, 6th ed. Hoboken, NJ: Pearson, 2018.</w:t>
      </w:r>
    </w:p>
    <w:p>
      <w:pPr>
        <w:spacing w:line="276" w:lineRule="auto" w:before="0" w:after="0"/>
        <w:jc w:val="left"/>
      </w:pPr>
      <w:r>
        <w:rPr>
          <w:rFonts w:ascii="Times New Roman" w:hAnsi="Times New Roman"/>
          <w:sz w:val="24"/>
        </w:rPr>
        <w:t>[4] Tsubakimoto Chain Company, Zip Chain Actuator Technical Catalog: ZA Series Specifications and Applications. Osaka, Japan: Tsubaki Corporation, 2025.</w:t>
      </w:r>
    </w:p>
    <w:p>
      <w:pPr>
        <w:spacing w:line="276" w:lineRule="auto" w:before="0" w:after="0"/>
        <w:jc w:val="left"/>
      </w:pPr>
      <w:r>
        <w:rPr>
          <w:rFonts w:ascii="Times New Roman" w:hAnsi="Times New Roman"/>
          <w:sz w:val="24"/>
        </w:rPr>
        <w:t>[5] E. A. Parr, Industrial Control Handbook, 3rd ed. Oxford, UK: Butterworth-Heinemann, 2011.</w:t>
      </w:r>
    </w:p>
    <w:p>
      <w:pPr>
        <w:spacing w:line="276" w:lineRule="auto" w:before="0" w:after="0"/>
        <w:jc w:val="left"/>
      </w:pPr>
      <w:r>
        <w:rPr>
          <w:rFonts w:ascii="Times New Roman" w:hAnsi="Times New Roman"/>
          <w:sz w:val="24"/>
        </w:rPr>
        <w:t>[6] International Electrotechnical Commission, IEC 61131-3: Programmable Controllers – Part 3: Programming Languages, 3rd ed. Geneva, Switzerland: IEC, 2013.</w:t>
      </w:r>
    </w:p>
    <w:p>
      <w:pPr>
        <w:spacing w:line="276" w:lineRule="auto" w:before="0" w:after="0"/>
        <w:jc w:val="left"/>
      </w:pPr>
      <w:r>
        <w:rPr>
          <w:rFonts w:ascii="Times New Roman" w:hAnsi="Times New Roman"/>
          <w:sz w:val="24"/>
        </w:rPr>
        <w:t>[7] W. Bolton, Mechatronics: Electronic Control Systems in Mechanical and Electrical Engineering, 6th ed. Harlow, UK: Pearson Education, 2015.</w:t>
      </w:r>
    </w:p>
    <w:p>
      <w:pPr>
        <w:spacing w:line="276" w:lineRule="auto" w:before="0" w:after="0"/>
        <w:jc w:val="left"/>
      </w:pPr>
      <w:r>
        <w:rPr>
          <w:rFonts w:ascii="Times New Roman" w:hAnsi="Times New Roman"/>
          <w:sz w:val="24"/>
        </w:rPr>
        <w:t>[8] Delta Electronics, Inc., DVP-PLC Application Manual: Programming and Hardware Reference. Taipei, Taiwan: Delta Electronics, 2024.</w:t>
      </w:r>
    </w:p>
    <w:p>
      <w:pPr>
        <w:spacing w:line="276" w:lineRule="auto" w:before="0" w:after="0"/>
        <w:jc w:val="left"/>
      </w:pPr>
      <w:r>
        <w:rPr>
          <w:rFonts w:ascii="Times New Roman" w:hAnsi="Times New Roman"/>
          <w:sz w:val="24"/>
        </w:rPr>
        <w:t>[9] S. Y. Nof, Ed., Springer Handbook of Automation. Berlin, Germany: Springer-Verlag, 2009.</w:t>
      </w:r>
    </w:p>
    <w:p>
      <w:pPr>
        <w:spacing w:line="276" w:lineRule="auto" w:before="0" w:after="0"/>
        <w:jc w:val="left"/>
      </w:pPr>
      <w:r>
        <w:rPr>
          <w:rFonts w:ascii="Times New Roman" w:hAnsi="Times New Roman"/>
          <w:sz w:val="24"/>
        </w:rPr>
        <w:t>[10] F. Lamb, Industrial Automation: Hands-On. New York, NY: McGraw-Hill Education, 2013.</w:t>
      </w:r>
    </w:p>
    <w:p>
      <w:pPr>
        <w:spacing w:line="276" w:lineRule="auto" w:before="0" w:after="0"/>
        <w:jc w:val="left"/>
      </w:pPr>
      <w:r>
        <w:rPr>
          <w:rFonts w:ascii="Times New Roman" w:hAnsi="Times New Roman"/>
          <w:sz w:val="24"/>
        </w:rPr>
        <w:t>[11] J. E. Shigley and C. R. Mischke, Mechanical Engineering Design, 11th ed. New York, NY: McGraw-Hill, 2020.</w:t>
      </w:r>
    </w:p>
    <w:p>
      <w:pPr>
        <w:spacing w:line="276" w:lineRule="auto" w:before="0" w:after="0"/>
        <w:jc w:val="left"/>
      </w:pPr>
      <w:r>
        <w:rPr>
          <w:rFonts w:ascii="Times New Roman" w:hAnsi="Times New Roman"/>
          <w:sz w:val="24"/>
        </w:rPr>
        <w:t>[12] International Electrotechnical Commission, IEC 62061: Safety of Machinery – Functional Safety of Safety-Related Electrical, Electronic and Programmable Electronic Control Systems. Geneva, Switzerland: IEC, 2021.</w:t>
      </w:r>
    </w:p>
    <w:p>
      <w:pPr>
        <w:spacing w:line="276" w:lineRule="auto" w:before="0" w:after="0"/>
        <w:jc w:val="left"/>
      </w:pPr>
      <w:r>
        <w:rPr>
          <w:rFonts w:ascii="Times New Roman" w:hAnsi="Times New Roman"/>
          <w:sz w:val="24"/>
        </w:rPr>
        <w:t>[13] United Nations, Transforming Our World: The 2030 Agenda for Sustainable Development. New York, NY: United Nations, 2015.</w:t>
      </w:r>
    </w:p>
    <w:p>
      <w:pPr>
        <w:spacing w:line="276" w:lineRule="auto" w:before="0" w:after="0"/>
        <w:jc w:val="left"/>
      </w:pPr>
      <w:r>
        <w:rPr>
          <w:rFonts w:ascii="Times New Roman" w:hAnsi="Times New Roman"/>
          <w:sz w:val="24"/>
        </w:rPr>
        <w:t>[14] N. Sclater and N. P. Chironis, Mechanisms and Mechanical Devices Sourcebook, 5th ed. New York, NY: McGraw-Hill, 2011.</w:t>
      </w:r>
    </w:p>
    <w:p>
      <w:pPr>
        <w:spacing w:line="276" w:lineRule="auto" w:before="0" w:after="0"/>
        <w:jc w:val="left"/>
      </w:pPr>
      <w:r>
        <w:rPr>
          <w:rFonts w:ascii="Times New Roman" w:hAnsi="Times New Roman"/>
          <w:sz w:val="24"/>
        </w:rPr>
        <w:t>[15] H. Jack, Automating Manufacturing Systems with PLCs. [Online]. Available: www.engineeronadisk.com, 2010.</w:t>
      </w:r>
    </w:p>
    <w:sectPr w:rsidR="00FC693F" w:rsidRPr="0006063C" w:rsidSect="00034616">
      <w:pgSz w:w="11906" w:h="16838"/>
      <w:pgMar w:top="680"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