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AFCDF1">
      <w:pPr>
        <w:jc w:val="center"/>
      </w:pPr>
      <w:r>
        <w:rPr>
          <w:b/>
          <w:sz w:val="28"/>
        </w:rPr>
        <w:t>13 Research Papers vs AIHire – AI-Powered Virtual Interview and Candidate Assessment</w:t>
      </w:r>
    </w:p>
    <w:p w14:paraId="62C1429C">
      <w:r>
        <w:rPr>
          <w:rFonts w:hint="default"/>
          <w:b/>
          <w:lang w:val="en-US"/>
        </w:rPr>
        <w:t>1.</w:t>
      </w:r>
      <w:r>
        <w:rPr>
          <w:b/>
        </w:rPr>
        <w:t xml:space="preserve">Comparison basis: </w:t>
      </w:r>
      <w:r>
        <w:t>Derived qualitative feature-coverage score (not an accuracy/F1 score): number of AIHire's seven core assessment capabilities explicitly addressed by the compared approach ÷ 7 × 100. The literature survey does not report a single directly comparable performance percentage for all papers.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2"/>
        <w:gridCol w:w="1752"/>
        <w:gridCol w:w="1752"/>
        <w:gridCol w:w="1752"/>
        <w:gridCol w:w="1752"/>
        <w:gridCol w:w="1752"/>
      </w:tblGrid>
      <w:tr w14:paraId="3E66D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tcPr>
          <w:p w14:paraId="137F6F76">
            <w:pPr>
              <w:spacing w:after="0" w:line="240" w:lineRule="auto"/>
            </w:pPr>
            <w:r>
              <w:rPr>
                <w:b/>
                <w:sz w:val="16"/>
              </w:rPr>
              <w:t>#</w:t>
            </w:r>
          </w:p>
        </w:tc>
        <w:tc>
          <w:tcPr>
            <w:tcW w:w="1752" w:type="dxa"/>
          </w:tcPr>
          <w:p w14:paraId="6284EECD">
            <w:pPr>
              <w:spacing w:after="0" w:line="240" w:lineRule="auto"/>
            </w:pPr>
            <w:r>
              <w:rPr>
                <w:b/>
                <w:sz w:val="16"/>
              </w:rPr>
              <w:t>Paper / Model</w:t>
            </w:r>
          </w:p>
        </w:tc>
        <w:tc>
          <w:tcPr>
            <w:tcW w:w="1752" w:type="dxa"/>
          </w:tcPr>
          <w:p w14:paraId="14C14DD1">
            <w:pPr>
              <w:spacing w:after="0" w:line="240" w:lineRule="auto"/>
            </w:pPr>
            <w:r>
              <w:rPr>
                <w:b/>
                <w:sz w:val="16"/>
              </w:rPr>
              <w:t>Reported Metric / Scope</w:t>
            </w:r>
          </w:p>
        </w:tc>
        <w:tc>
          <w:tcPr>
            <w:tcW w:w="1752" w:type="dxa"/>
          </w:tcPr>
          <w:p w14:paraId="2AB75492">
            <w:pPr>
              <w:spacing w:after="0" w:line="240" w:lineRule="auto"/>
            </w:pPr>
            <w:r>
              <w:rPr>
                <w:b/>
                <w:sz w:val="16"/>
              </w:rPr>
              <w:t>Calculation</w:t>
            </w:r>
          </w:p>
        </w:tc>
        <w:tc>
          <w:tcPr>
            <w:tcW w:w="1752" w:type="dxa"/>
          </w:tcPr>
          <w:p w14:paraId="7D148BD4">
            <w:pPr>
              <w:spacing w:after="0" w:line="240" w:lineRule="auto"/>
            </w:pPr>
            <w:r>
              <w:rPr>
                <w:b/>
                <w:sz w:val="16"/>
              </w:rPr>
              <w:t>Comparison Score (%)</w:t>
            </w:r>
          </w:p>
        </w:tc>
        <w:tc>
          <w:tcPr>
            <w:tcW w:w="1752" w:type="dxa"/>
          </w:tcPr>
          <w:p w14:paraId="133EAB7D">
            <w:pPr>
              <w:spacing w:after="0" w:line="240" w:lineRule="auto"/>
            </w:pPr>
            <w:r>
              <w:rPr>
                <w:b/>
                <w:sz w:val="16"/>
              </w:rPr>
              <w:t>Status</w:t>
            </w:r>
          </w:p>
        </w:tc>
      </w:tr>
      <w:tr w14:paraId="00FFE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Align w:val="center"/>
          </w:tcPr>
          <w:p w14:paraId="043FA868">
            <w:pPr>
              <w:spacing w:after="0" w:line="240" w:lineRule="auto"/>
            </w:pPr>
            <w:r>
              <w:rPr>
                <w:sz w:val="15"/>
              </w:rPr>
              <w:t>1</w:t>
            </w:r>
          </w:p>
        </w:tc>
        <w:tc>
          <w:tcPr>
            <w:tcW w:w="1752" w:type="dxa"/>
            <w:vAlign w:val="center"/>
          </w:tcPr>
          <w:p w14:paraId="2FD53CAA">
            <w:pPr>
              <w:spacing w:after="0" w:line="240" w:lineRule="auto"/>
            </w:pPr>
            <w:r>
              <w:rPr>
                <w:sz w:val="15"/>
              </w:rPr>
              <w:t>Devlin et al. (2019) – BERT</w:t>
            </w:r>
          </w:p>
        </w:tc>
        <w:tc>
          <w:tcPr>
            <w:tcW w:w="1752" w:type="dxa"/>
            <w:vAlign w:val="center"/>
          </w:tcPr>
          <w:p w14:paraId="07C3FF06">
            <w:pPr>
              <w:spacing w:after="0" w:line="240" w:lineRule="auto"/>
            </w:pPr>
            <w:r>
              <w:rPr>
                <w:sz w:val="15"/>
              </w:rPr>
              <w:t>General NLP performance; not recruitment-specific</w:t>
            </w:r>
          </w:p>
        </w:tc>
        <w:tc>
          <w:tcPr>
            <w:tcW w:w="1752" w:type="dxa"/>
            <w:vAlign w:val="center"/>
          </w:tcPr>
          <w:p w14:paraId="41C9D203">
            <w:pPr>
              <w:spacing w:after="0" w:line="240" w:lineRule="auto"/>
            </w:pPr>
            <w:r>
              <w:rPr>
                <w:sz w:val="15"/>
              </w:rPr>
              <w:t>1/7 × 100</w:t>
            </w:r>
          </w:p>
        </w:tc>
        <w:tc>
          <w:tcPr>
            <w:tcW w:w="1752" w:type="dxa"/>
            <w:vAlign w:val="center"/>
          </w:tcPr>
          <w:p w14:paraId="41DBC32E">
            <w:pPr>
              <w:spacing w:after="0" w:line="240" w:lineRule="auto"/>
            </w:pPr>
            <w:r>
              <w:rPr>
                <w:sz w:val="15"/>
              </w:rPr>
              <w:t>14.3%</w:t>
            </w:r>
          </w:p>
        </w:tc>
        <w:tc>
          <w:tcPr>
            <w:tcW w:w="1752" w:type="dxa"/>
            <w:vAlign w:val="center"/>
          </w:tcPr>
          <w:p w14:paraId="27E165AA">
            <w:pPr>
              <w:spacing w:after="0" w:line="240" w:lineRule="auto"/>
            </w:pPr>
            <w:r>
              <w:rPr>
                <w:sz w:val="15"/>
              </w:rPr>
              <w:t>Partial scope; no single directly comparable project score</w:t>
            </w:r>
          </w:p>
        </w:tc>
      </w:tr>
      <w:tr w14:paraId="078D3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Align w:val="center"/>
          </w:tcPr>
          <w:p w14:paraId="192C2180">
            <w:pPr>
              <w:spacing w:after="0" w:line="240" w:lineRule="auto"/>
            </w:pPr>
            <w:r>
              <w:rPr>
                <w:sz w:val="15"/>
              </w:rPr>
              <w:t>2</w:t>
            </w:r>
          </w:p>
        </w:tc>
        <w:tc>
          <w:tcPr>
            <w:tcW w:w="1752" w:type="dxa"/>
            <w:vAlign w:val="center"/>
          </w:tcPr>
          <w:p w14:paraId="73442BD4">
            <w:pPr>
              <w:spacing w:after="0" w:line="240" w:lineRule="auto"/>
            </w:pPr>
            <w:r>
              <w:rPr>
                <w:sz w:val="15"/>
              </w:rPr>
              <w:t>Reimers &amp; Gurevych (2019) – Sentence-BERT</w:t>
            </w:r>
          </w:p>
        </w:tc>
        <w:tc>
          <w:tcPr>
            <w:tcW w:w="1752" w:type="dxa"/>
            <w:vAlign w:val="center"/>
          </w:tcPr>
          <w:p w14:paraId="3E988795">
            <w:pPr>
              <w:spacing w:after="0" w:line="240" w:lineRule="auto"/>
            </w:pPr>
            <w:r>
              <w:rPr>
                <w:sz w:val="15"/>
              </w:rPr>
              <w:t>Semantic similarity; not recruitment-specific</w:t>
            </w:r>
          </w:p>
        </w:tc>
        <w:tc>
          <w:tcPr>
            <w:tcW w:w="1752" w:type="dxa"/>
            <w:vAlign w:val="center"/>
          </w:tcPr>
          <w:p w14:paraId="5851B87D">
            <w:pPr>
              <w:spacing w:after="0" w:line="240" w:lineRule="auto"/>
            </w:pPr>
            <w:r>
              <w:rPr>
                <w:sz w:val="15"/>
              </w:rPr>
              <w:t>1/7 × 100</w:t>
            </w:r>
          </w:p>
        </w:tc>
        <w:tc>
          <w:tcPr>
            <w:tcW w:w="1752" w:type="dxa"/>
            <w:vAlign w:val="center"/>
          </w:tcPr>
          <w:p w14:paraId="3BC38FB6">
            <w:pPr>
              <w:spacing w:after="0" w:line="240" w:lineRule="auto"/>
            </w:pPr>
            <w:r>
              <w:rPr>
                <w:sz w:val="15"/>
              </w:rPr>
              <w:t>14.3%</w:t>
            </w:r>
          </w:p>
        </w:tc>
        <w:tc>
          <w:tcPr>
            <w:tcW w:w="1752" w:type="dxa"/>
            <w:vAlign w:val="center"/>
          </w:tcPr>
          <w:p w14:paraId="0BD6F0D6">
            <w:pPr>
              <w:spacing w:after="0" w:line="240" w:lineRule="auto"/>
            </w:pPr>
            <w:r>
              <w:rPr>
                <w:sz w:val="15"/>
              </w:rPr>
              <w:t>Partial scope; no single directly comparable project score</w:t>
            </w:r>
          </w:p>
        </w:tc>
      </w:tr>
      <w:tr w14:paraId="6DF2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Align w:val="center"/>
          </w:tcPr>
          <w:p w14:paraId="7FDD6365">
            <w:pPr>
              <w:spacing w:after="0" w:line="240" w:lineRule="auto"/>
            </w:pPr>
            <w:r>
              <w:rPr>
                <w:sz w:val="15"/>
              </w:rPr>
              <w:t>3</w:t>
            </w:r>
          </w:p>
        </w:tc>
        <w:tc>
          <w:tcPr>
            <w:tcW w:w="1752" w:type="dxa"/>
            <w:vAlign w:val="center"/>
          </w:tcPr>
          <w:p w14:paraId="5DB94096">
            <w:pPr>
              <w:spacing w:after="0" w:line="240" w:lineRule="auto"/>
            </w:pPr>
            <w:r>
              <w:rPr>
                <w:sz w:val="15"/>
              </w:rPr>
              <w:t>Radford et al. (2022) – Whisper</w:t>
            </w:r>
          </w:p>
        </w:tc>
        <w:tc>
          <w:tcPr>
            <w:tcW w:w="1752" w:type="dxa"/>
            <w:vAlign w:val="center"/>
          </w:tcPr>
          <w:p w14:paraId="7942503A">
            <w:pPr>
              <w:spacing w:after="0" w:line="240" w:lineRule="auto"/>
            </w:pPr>
            <w:r>
              <w:rPr>
                <w:sz w:val="15"/>
              </w:rPr>
              <w:t>Speech recognition / transcription</w:t>
            </w:r>
          </w:p>
        </w:tc>
        <w:tc>
          <w:tcPr>
            <w:tcW w:w="1752" w:type="dxa"/>
            <w:vAlign w:val="center"/>
          </w:tcPr>
          <w:p w14:paraId="428E56C1">
            <w:pPr>
              <w:spacing w:after="0" w:line="240" w:lineRule="auto"/>
            </w:pPr>
            <w:r>
              <w:rPr>
                <w:sz w:val="15"/>
              </w:rPr>
              <w:t>1/7 × 100</w:t>
            </w:r>
          </w:p>
        </w:tc>
        <w:tc>
          <w:tcPr>
            <w:tcW w:w="1752" w:type="dxa"/>
            <w:vAlign w:val="center"/>
          </w:tcPr>
          <w:p w14:paraId="7898BB54">
            <w:pPr>
              <w:spacing w:after="0" w:line="240" w:lineRule="auto"/>
            </w:pPr>
            <w:r>
              <w:rPr>
                <w:sz w:val="15"/>
              </w:rPr>
              <w:t>14.3%</w:t>
            </w:r>
          </w:p>
        </w:tc>
        <w:tc>
          <w:tcPr>
            <w:tcW w:w="1752" w:type="dxa"/>
            <w:vAlign w:val="center"/>
          </w:tcPr>
          <w:p w14:paraId="426092DE">
            <w:pPr>
              <w:spacing w:after="0" w:line="240" w:lineRule="auto"/>
            </w:pPr>
            <w:r>
              <w:rPr>
                <w:sz w:val="15"/>
              </w:rPr>
              <w:t>Partial scope; no single directly comparable project score</w:t>
            </w:r>
          </w:p>
        </w:tc>
      </w:tr>
      <w:tr w14:paraId="2D5B7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Align w:val="center"/>
          </w:tcPr>
          <w:p w14:paraId="5BEB596F">
            <w:pPr>
              <w:spacing w:after="0" w:line="240" w:lineRule="auto"/>
            </w:pPr>
            <w:r>
              <w:rPr>
                <w:sz w:val="15"/>
              </w:rPr>
              <w:t>4</w:t>
            </w:r>
          </w:p>
        </w:tc>
        <w:tc>
          <w:tcPr>
            <w:tcW w:w="1752" w:type="dxa"/>
            <w:vAlign w:val="center"/>
          </w:tcPr>
          <w:p w14:paraId="5BBDA4A7">
            <w:pPr>
              <w:spacing w:after="0" w:line="240" w:lineRule="auto"/>
            </w:pPr>
            <w:r>
              <w:rPr>
                <w:sz w:val="15"/>
              </w:rPr>
              <w:t>Hickman et al. (2022) – ML / Video Interviews</w:t>
            </w:r>
          </w:p>
        </w:tc>
        <w:tc>
          <w:tcPr>
            <w:tcW w:w="1752" w:type="dxa"/>
            <w:vAlign w:val="center"/>
          </w:tcPr>
          <w:p w14:paraId="6F99EB48">
            <w:pPr>
              <w:spacing w:after="0" w:line="240" w:lineRule="auto"/>
            </w:pPr>
            <w:r>
              <w:rPr>
                <w:sz w:val="15"/>
              </w:rPr>
              <w:t>Automated video interview assessment</w:t>
            </w:r>
          </w:p>
        </w:tc>
        <w:tc>
          <w:tcPr>
            <w:tcW w:w="1752" w:type="dxa"/>
            <w:vAlign w:val="center"/>
          </w:tcPr>
          <w:p w14:paraId="566BFE29">
            <w:pPr>
              <w:spacing w:after="0" w:line="240" w:lineRule="auto"/>
            </w:pPr>
            <w:r>
              <w:rPr>
                <w:sz w:val="15"/>
              </w:rPr>
              <w:t>2/7 × 100</w:t>
            </w:r>
          </w:p>
        </w:tc>
        <w:tc>
          <w:tcPr>
            <w:tcW w:w="1752" w:type="dxa"/>
            <w:vAlign w:val="center"/>
          </w:tcPr>
          <w:p w14:paraId="309AE91F">
            <w:pPr>
              <w:spacing w:after="0" w:line="240" w:lineRule="auto"/>
            </w:pPr>
            <w:r>
              <w:rPr>
                <w:sz w:val="15"/>
              </w:rPr>
              <w:t>28.6%</w:t>
            </w:r>
          </w:p>
        </w:tc>
        <w:tc>
          <w:tcPr>
            <w:tcW w:w="1752" w:type="dxa"/>
            <w:vAlign w:val="center"/>
          </w:tcPr>
          <w:p w14:paraId="37EF7DC7">
            <w:pPr>
              <w:spacing w:after="0" w:line="240" w:lineRule="auto"/>
            </w:pPr>
            <w:r>
              <w:rPr>
                <w:sz w:val="15"/>
              </w:rPr>
              <w:t>Partial scope; no single directly comparable project score</w:t>
            </w:r>
          </w:p>
        </w:tc>
      </w:tr>
      <w:tr w14:paraId="4CACA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Align w:val="center"/>
          </w:tcPr>
          <w:p w14:paraId="61D5A0EA">
            <w:pPr>
              <w:spacing w:after="0" w:line="240" w:lineRule="auto"/>
            </w:pPr>
            <w:r>
              <w:rPr>
                <w:sz w:val="15"/>
              </w:rPr>
              <w:t>5</w:t>
            </w:r>
          </w:p>
        </w:tc>
        <w:tc>
          <w:tcPr>
            <w:tcW w:w="1752" w:type="dxa"/>
            <w:vAlign w:val="center"/>
          </w:tcPr>
          <w:p w14:paraId="3411BF6E">
            <w:pPr>
              <w:spacing w:after="0" w:line="240" w:lineRule="auto"/>
            </w:pPr>
            <w:r>
              <w:rPr>
                <w:sz w:val="15"/>
              </w:rPr>
              <w:t>Automatic Assessment of Communication Skill (2019) – SVM + Logistic Regression</w:t>
            </w:r>
          </w:p>
        </w:tc>
        <w:tc>
          <w:tcPr>
            <w:tcW w:w="1752" w:type="dxa"/>
            <w:vAlign w:val="center"/>
          </w:tcPr>
          <w:p w14:paraId="1C04F9D8">
            <w:pPr>
              <w:spacing w:after="0" w:line="240" w:lineRule="auto"/>
            </w:pPr>
            <w:r>
              <w:rPr>
                <w:sz w:val="15"/>
              </w:rPr>
              <w:t>Communication-skill assessment</w:t>
            </w:r>
          </w:p>
        </w:tc>
        <w:tc>
          <w:tcPr>
            <w:tcW w:w="1752" w:type="dxa"/>
            <w:vAlign w:val="center"/>
          </w:tcPr>
          <w:p w14:paraId="2A089492">
            <w:pPr>
              <w:spacing w:after="0" w:line="240" w:lineRule="auto"/>
            </w:pPr>
            <w:r>
              <w:rPr>
                <w:sz w:val="15"/>
              </w:rPr>
              <w:t>1/7 × 100</w:t>
            </w:r>
          </w:p>
        </w:tc>
        <w:tc>
          <w:tcPr>
            <w:tcW w:w="1752" w:type="dxa"/>
            <w:vAlign w:val="center"/>
          </w:tcPr>
          <w:p w14:paraId="698CC88E">
            <w:pPr>
              <w:spacing w:after="0" w:line="240" w:lineRule="auto"/>
            </w:pPr>
            <w:r>
              <w:rPr>
                <w:sz w:val="15"/>
              </w:rPr>
              <w:t>14.3%</w:t>
            </w:r>
          </w:p>
        </w:tc>
        <w:tc>
          <w:tcPr>
            <w:tcW w:w="1752" w:type="dxa"/>
            <w:vAlign w:val="center"/>
          </w:tcPr>
          <w:p w14:paraId="6289964E">
            <w:pPr>
              <w:spacing w:after="0" w:line="240" w:lineRule="auto"/>
            </w:pPr>
            <w:r>
              <w:rPr>
                <w:sz w:val="15"/>
              </w:rPr>
              <w:t>Partial scope; no single directly comparable project score</w:t>
            </w:r>
          </w:p>
        </w:tc>
      </w:tr>
      <w:tr w14:paraId="31514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Align w:val="center"/>
          </w:tcPr>
          <w:p w14:paraId="7BD11DE2">
            <w:pPr>
              <w:spacing w:after="0" w:line="240" w:lineRule="auto"/>
            </w:pPr>
            <w:r>
              <w:rPr>
                <w:sz w:val="15"/>
              </w:rPr>
              <w:t>6</w:t>
            </w:r>
          </w:p>
        </w:tc>
        <w:tc>
          <w:tcPr>
            <w:tcW w:w="1752" w:type="dxa"/>
            <w:vAlign w:val="center"/>
          </w:tcPr>
          <w:p w14:paraId="425612F1">
            <w:pPr>
              <w:spacing w:after="0" w:line="240" w:lineRule="auto"/>
            </w:pPr>
            <w:r>
              <w:rPr>
                <w:sz w:val="15"/>
              </w:rPr>
              <w:t>Muddumage et al. (2022) – Multimodal Candidate Assessment</w:t>
            </w:r>
          </w:p>
        </w:tc>
        <w:tc>
          <w:tcPr>
            <w:tcW w:w="1752" w:type="dxa"/>
            <w:vAlign w:val="center"/>
          </w:tcPr>
          <w:p w14:paraId="0F54BAC5">
            <w:pPr>
              <w:spacing w:after="0" w:line="240" w:lineRule="auto"/>
            </w:pPr>
            <w:r>
              <w:rPr>
                <w:sz w:val="15"/>
              </w:rPr>
              <w:t>Multimodal candidate assessment</w:t>
            </w:r>
          </w:p>
        </w:tc>
        <w:tc>
          <w:tcPr>
            <w:tcW w:w="1752" w:type="dxa"/>
            <w:vAlign w:val="center"/>
          </w:tcPr>
          <w:p w14:paraId="35DB4F92">
            <w:pPr>
              <w:spacing w:after="0" w:line="240" w:lineRule="auto"/>
            </w:pPr>
            <w:r>
              <w:rPr>
                <w:sz w:val="15"/>
              </w:rPr>
              <w:t>2/7 × 100</w:t>
            </w:r>
          </w:p>
        </w:tc>
        <w:tc>
          <w:tcPr>
            <w:tcW w:w="1752" w:type="dxa"/>
            <w:vAlign w:val="center"/>
          </w:tcPr>
          <w:p w14:paraId="0979A89B">
            <w:pPr>
              <w:spacing w:after="0" w:line="240" w:lineRule="auto"/>
            </w:pPr>
            <w:r>
              <w:rPr>
                <w:sz w:val="15"/>
              </w:rPr>
              <w:t>28.6%</w:t>
            </w:r>
          </w:p>
        </w:tc>
        <w:tc>
          <w:tcPr>
            <w:tcW w:w="1752" w:type="dxa"/>
            <w:vAlign w:val="center"/>
          </w:tcPr>
          <w:p w14:paraId="31EA04C2">
            <w:pPr>
              <w:spacing w:after="0" w:line="240" w:lineRule="auto"/>
            </w:pPr>
            <w:r>
              <w:rPr>
                <w:sz w:val="15"/>
              </w:rPr>
              <w:t>Partial scope; no single directly comparable project score</w:t>
            </w:r>
          </w:p>
        </w:tc>
      </w:tr>
      <w:tr w14:paraId="32CA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Align w:val="center"/>
          </w:tcPr>
          <w:p w14:paraId="484DEB80">
            <w:pPr>
              <w:spacing w:after="0" w:line="240" w:lineRule="auto"/>
            </w:pPr>
            <w:r>
              <w:rPr>
                <w:sz w:val="15"/>
              </w:rPr>
              <w:t>7</w:t>
            </w:r>
          </w:p>
        </w:tc>
        <w:tc>
          <w:tcPr>
            <w:tcW w:w="1752" w:type="dxa"/>
            <w:vAlign w:val="center"/>
          </w:tcPr>
          <w:p w14:paraId="45094FA1">
            <w:pPr>
              <w:spacing w:after="0" w:line="240" w:lineRule="auto"/>
            </w:pPr>
            <w:r>
              <w:rPr>
                <w:sz w:val="15"/>
              </w:rPr>
              <w:t>Dahabsh? &amp; Raut (2024) – BERT + Cosine Similarity</w:t>
            </w:r>
          </w:p>
        </w:tc>
        <w:tc>
          <w:tcPr>
            <w:tcW w:w="1752" w:type="dxa"/>
            <w:vAlign w:val="center"/>
          </w:tcPr>
          <w:p w14:paraId="3283D6B8">
            <w:pPr>
              <w:spacing w:after="0" w:line="240" w:lineRule="auto"/>
            </w:pPr>
            <w:r>
              <w:rPr>
                <w:sz w:val="15"/>
              </w:rPr>
              <w:t>Resume–job similarity / ranking</w:t>
            </w:r>
          </w:p>
        </w:tc>
        <w:tc>
          <w:tcPr>
            <w:tcW w:w="1752" w:type="dxa"/>
            <w:vAlign w:val="center"/>
          </w:tcPr>
          <w:p w14:paraId="4B3C5BA1">
            <w:pPr>
              <w:spacing w:after="0" w:line="240" w:lineRule="auto"/>
            </w:pPr>
            <w:r>
              <w:rPr>
                <w:sz w:val="15"/>
              </w:rPr>
              <w:t>2/7 × 100</w:t>
            </w:r>
          </w:p>
        </w:tc>
        <w:tc>
          <w:tcPr>
            <w:tcW w:w="1752" w:type="dxa"/>
            <w:vAlign w:val="center"/>
          </w:tcPr>
          <w:p w14:paraId="509F392C">
            <w:pPr>
              <w:spacing w:after="0" w:line="240" w:lineRule="auto"/>
            </w:pPr>
            <w:r>
              <w:rPr>
                <w:sz w:val="15"/>
              </w:rPr>
              <w:t>28.6%</w:t>
            </w:r>
          </w:p>
        </w:tc>
        <w:tc>
          <w:tcPr>
            <w:tcW w:w="1752" w:type="dxa"/>
            <w:vAlign w:val="center"/>
          </w:tcPr>
          <w:p w14:paraId="26C7AAEA">
            <w:pPr>
              <w:spacing w:after="0" w:line="240" w:lineRule="auto"/>
            </w:pPr>
            <w:r>
              <w:rPr>
                <w:sz w:val="15"/>
              </w:rPr>
              <w:t>Partial scope; no single directly comparable project score</w:t>
            </w:r>
          </w:p>
        </w:tc>
      </w:tr>
      <w:tr w14:paraId="4AD33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Align w:val="center"/>
          </w:tcPr>
          <w:p w14:paraId="6C614CE6">
            <w:pPr>
              <w:spacing w:after="0" w:line="240" w:lineRule="auto"/>
            </w:pPr>
            <w:r>
              <w:rPr>
                <w:sz w:val="15"/>
              </w:rPr>
              <w:t>8</w:t>
            </w:r>
          </w:p>
        </w:tc>
        <w:tc>
          <w:tcPr>
            <w:tcW w:w="1752" w:type="dxa"/>
            <w:vAlign w:val="center"/>
          </w:tcPr>
          <w:p w14:paraId="04E577DD">
            <w:pPr>
              <w:spacing w:after="0" w:line="240" w:lineRule="auto"/>
            </w:pPr>
            <w:r>
              <w:rPr>
                <w:sz w:val="15"/>
              </w:rPr>
              <w:t>Speech Emotion Recognition Study (2023) – CNN + Multi-Head Convolutional Transformer</w:t>
            </w:r>
          </w:p>
        </w:tc>
        <w:tc>
          <w:tcPr>
            <w:tcW w:w="1752" w:type="dxa"/>
            <w:vAlign w:val="center"/>
          </w:tcPr>
          <w:p w14:paraId="48980E97">
            <w:pPr>
              <w:spacing w:after="0" w:line="240" w:lineRule="auto"/>
            </w:pPr>
            <w:r>
              <w:rPr>
                <w:sz w:val="15"/>
              </w:rPr>
              <w:t>Speech emotion recognition</w:t>
            </w:r>
          </w:p>
        </w:tc>
        <w:tc>
          <w:tcPr>
            <w:tcW w:w="1752" w:type="dxa"/>
            <w:vAlign w:val="center"/>
          </w:tcPr>
          <w:p w14:paraId="223E935C">
            <w:pPr>
              <w:spacing w:after="0" w:line="240" w:lineRule="auto"/>
            </w:pPr>
            <w:r>
              <w:rPr>
                <w:sz w:val="15"/>
              </w:rPr>
              <w:t>1/7 × 100</w:t>
            </w:r>
          </w:p>
        </w:tc>
        <w:tc>
          <w:tcPr>
            <w:tcW w:w="1752" w:type="dxa"/>
            <w:vAlign w:val="center"/>
          </w:tcPr>
          <w:p w14:paraId="463588D2">
            <w:pPr>
              <w:spacing w:after="0" w:line="240" w:lineRule="auto"/>
            </w:pPr>
            <w:r>
              <w:rPr>
                <w:sz w:val="15"/>
              </w:rPr>
              <w:t>14.3%</w:t>
            </w:r>
          </w:p>
        </w:tc>
        <w:tc>
          <w:tcPr>
            <w:tcW w:w="1752" w:type="dxa"/>
            <w:vAlign w:val="center"/>
          </w:tcPr>
          <w:p w14:paraId="04CDD707">
            <w:pPr>
              <w:spacing w:after="0" w:line="240" w:lineRule="auto"/>
            </w:pPr>
            <w:r>
              <w:rPr>
                <w:sz w:val="15"/>
              </w:rPr>
              <w:t>Partial scope; no single directly comparable project score</w:t>
            </w:r>
          </w:p>
        </w:tc>
      </w:tr>
      <w:tr w14:paraId="4F2EB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Align w:val="center"/>
          </w:tcPr>
          <w:p w14:paraId="458A4226">
            <w:pPr>
              <w:spacing w:after="0" w:line="240" w:lineRule="auto"/>
            </w:pPr>
            <w:r>
              <w:rPr>
                <w:sz w:val="15"/>
              </w:rPr>
              <w:t>9</w:t>
            </w:r>
          </w:p>
        </w:tc>
        <w:tc>
          <w:tcPr>
            <w:tcW w:w="1752" w:type="dxa"/>
            <w:vAlign w:val="center"/>
          </w:tcPr>
          <w:p w14:paraId="37008A12">
            <w:pPr>
              <w:spacing w:after="0" w:line="240" w:lineRule="auto"/>
            </w:pPr>
            <w:r>
              <w:rPr>
                <w:sz w:val="15"/>
              </w:rPr>
              <w:t>PE...Net (2023) – PE...Net</w:t>
            </w:r>
          </w:p>
        </w:tc>
        <w:tc>
          <w:tcPr>
            <w:tcW w:w="1752" w:type="dxa"/>
            <w:vAlign w:val="center"/>
          </w:tcPr>
          <w:p w14:paraId="2EB4C89E">
            <w:pPr>
              <w:spacing w:after="0" w:line="240" w:lineRule="auto"/>
            </w:pPr>
            <w:r>
              <w:rPr>
                <w:sz w:val="15"/>
              </w:rPr>
              <w:t>Speech emotion recognition</w:t>
            </w:r>
          </w:p>
        </w:tc>
        <w:tc>
          <w:tcPr>
            <w:tcW w:w="1752" w:type="dxa"/>
            <w:vAlign w:val="center"/>
          </w:tcPr>
          <w:p w14:paraId="125CDED5">
            <w:pPr>
              <w:spacing w:after="0" w:line="240" w:lineRule="auto"/>
            </w:pPr>
            <w:r>
              <w:rPr>
                <w:sz w:val="15"/>
              </w:rPr>
              <w:t>1/7 × 100</w:t>
            </w:r>
          </w:p>
        </w:tc>
        <w:tc>
          <w:tcPr>
            <w:tcW w:w="1752" w:type="dxa"/>
            <w:vAlign w:val="center"/>
          </w:tcPr>
          <w:p w14:paraId="16C4E588">
            <w:pPr>
              <w:spacing w:after="0" w:line="240" w:lineRule="auto"/>
            </w:pPr>
            <w:r>
              <w:rPr>
                <w:sz w:val="15"/>
              </w:rPr>
              <w:t>14.3%</w:t>
            </w:r>
          </w:p>
        </w:tc>
        <w:tc>
          <w:tcPr>
            <w:tcW w:w="1752" w:type="dxa"/>
            <w:vAlign w:val="center"/>
          </w:tcPr>
          <w:p w14:paraId="5B2948D2">
            <w:pPr>
              <w:spacing w:after="0" w:line="240" w:lineRule="auto"/>
            </w:pPr>
            <w:r>
              <w:rPr>
                <w:sz w:val="15"/>
              </w:rPr>
              <w:t>Partial scope; no single directly comparable project score</w:t>
            </w:r>
          </w:p>
        </w:tc>
      </w:tr>
      <w:tr w14:paraId="5BB85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Align w:val="center"/>
          </w:tcPr>
          <w:p w14:paraId="75F1CF99">
            <w:pPr>
              <w:spacing w:after="0" w:line="240" w:lineRule="auto"/>
            </w:pPr>
            <w:r>
              <w:rPr>
                <w:sz w:val="15"/>
              </w:rPr>
              <w:t>10</w:t>
            </w:r>
          </w:p>
        </w:tc>
        <w:tc>
          <w:tcPr>
            <w:tcW w:w="1752" w:type="dxa"/>
            <w:vAlign w:val="center"/>
          </w:tcPr>
          <w:p w14:paraId="1EFAC265">
            <w:pPr>
              <w:spacing w:after="0" w:line="240" w:lineRule="auto"/>
            </w:pPr>
            <w:r>
              <w:rPr>
                <w:sz w:val="15"/>
              </w:rPr>
              <w:t>Pata et al. (2024) – MAG-BERT-ARL</w:t>
            </w:r>
          </w:p>
        </w:tc>
        <w:tc>
          <w:tcPr>
            <w:tcW w:w="1752" w:type="dxa"/>
            <w:vAlign w:val="center"/>
          </w:tcPr>
          <w:p w14:paraId="62D5C75B">
            <w:pPr>
              <w:spacing w:after="0" w:line="240" w:lineRule="auto"/>
            </w:pPr>
            <w:r>
              <w:rPr>
                <w:sz w:val="15"/>
              </w:rPr>
              <w:t>Automated video interview assessment</w:t>
            </w:r>
          </w:p>
        </w:tc>
        <w:tc>
          <w:tcPr>
            <w:tcW w:w="1752" w:type="dxa"/>
            <w:vAlign w:val="center"/>
          </w:tcPr>
          <w:p w14:paraId="2D04F38B">
            <w:pPr>
              <w:spacing w:after="0" w:line="240" w:lineRule="auto"/>
            </w:pPr>
            <w:r>
              <w:rPr>
                <w:sz w:val="15"/>
              </w:rPr>
              <w:t>2/7 × 100</w:t>
            </w:r>
          </w:p>
        </w:tc>
        <w:tc>
          <w:tcPr>
            <w:tcW w:w="1752" w:type="dxa"/>
            <w:vAlign w:val="center"/>
          </w:tcPr>
          <w:p w14:paraId="15DF11F8">
            <w:pPr>
              <w:spacing w:after="0" w:line="240" w:lineRule="auto"/>
            </w:pPr>
            <w:r>
              <w:rPr>
                <w:sz w:val="15"/>
              </w:rPr>
              <w:t>28.6%</w:t>
            </w:r>
          </w:p>
        </w:tc>
        <w:tc>
          <w:tcPr>
            <w:tcW w:w="1752" w:type="dxa"/>
            <w:vAlign w:val="center"/>
          </w:tcPr>
          <w:p w14:paraId="4485D86B">
            <w:pPr>
              <w:spacing w:after="0" w:line="240" w:lineRule="auto"/>
            </w:pPr>
            <w:r>
              <w:rPr>
                <w:sz w:val="15"/>
              </w:rPr>
              <w:t>Partial scope; no single directly comparable project score</w:t>
            </w:r>
          </w:p>
        </w:tc>
      </w:tr>
      <w:tr w14:paraId="02571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Align w:val="center"/>
          </w:tcPr>
          <w:p w14:paraId="45EF5358">
            <w:pPr>
              <w:spacing w:after="0" w:line="240" w:lineRule="auto"/>
            </w:pPr>
            <w:r>
              <w:rPr>
                <w:sz w:val="15"/>
              </w:rPr>
              <w:t>11</w:t>
            </w:r>
          </w:p>
        </w:tc>
        <w:tc>
          <w:tcPr>
            <w:tcW w:w="1752" w:type="dxa"/>
            <w:vAlign w:val="center"/>
          </w:tcPr>
          <w:p w14:paraId="03CE2F3A">
            <w:pPr>
              <w:spacing w:after="0" w:line="240" w:lineRule="auto"/>
            </w:pPr>
            <w:r>
              <w:rPr>
                <w:sz w:val="15"/>
              </w:rPr>
              <w:t>Teng &amp; Zhang (2024) – Code-... / Large Language Models</w:t>
            </w:r>
          </w:p>
        </w:tc>
        <w:tc>
          <w:tcPr>
            <w:tcW w:w="1752" w:type="dxa"/>
            <w:vAlign w:val="center"/>
          </w:tcPr>
          <w:p w14:paraId="3A69C341">
            <w:pPr>
              <w:spacing w:after="0" w:line="240" w:lineRule="auto"/>
            </w:pPr>
            <w:r>
              <w:rPr>
                <w:sz w:val="15"/>
              </w:rPr>
              <w:t>LLM-based coding evaluation</w:t>
            </w:r>
          </w:p>
        </w:tc>
        <w:tc>
          <w:tcPr>
            <w:tcW w:w="1752" w:type="dxa"/>
            <w:vAlign w:val="center"/>
          </w:tcPr>
          <w:p w14:paraId="42C5464E">
            <w:pPr>
              <w:spacing w:after="0" w:line="240" w:lineRule="auto"/>
            </w:pPr>
            <w:r>
              <w:rPr>
                <w:sz w:val="15"/>
              </w:rPr>
              <w:t>1/7 × 100</w:t>
            </w:r>
          </w:p>
        </w:tc>
        <w:tc>
          <w:tcPr>
            <w:tcW w:w="1752" w:type="dxa"/>
            <w:vAlign w:val="center"/>
          </w:tcPr>
          <w:p w14:paraId="2214ECDD">
            <w:pPr>
              <w:spacing w:after="0" w:line="240" w:lineRule="auto"/>
            </w:pPr>
            <w:r>
              <w:rPr>
                <w:sz w:val="15"/>
              </w:rPr>
              <w:t>14.3%</w:t>
            </w:r>
          </w:p>
        </w:tc>
        <w:tc>
          <w:tcPr>
            <w:tcW w:w="1752" w:type="dxa"/>
            <w:vAlign w:val="center"/>
          </w:tcPr>
          <w:p w14:paraId="49DC8A86">
            <w:pPr>
              <w:spacing w:after="0" w:line="240" w:lineRule="auto"/>
            </w:pPr>
            <w:r>
              <w:rPr>
                <w:sz w:val="15"/>
              </w:rPr>
              <w:t>Partial scope; no single directly comparable project score</w:t>
            </w:r>
          </w:p>
        </w:tc>
      </w:tr>
      <w:tr w14:paraId="1D4B2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Align w:val="center"/>
          </w:tcPr>
          <w:p w14:paraId="6C2475AE">
            <w:pPr>
              <w:spacing w:after="0" w:line="240" w:lineRule="auto"/>
            </w:pPr>
            <w:r>
              <w:rPr>
                <w:sz w:val="15"/>
              </w:rPr>
              <w:t>12</w:t>
            </w:r>
          </w:p>
        </w:tc>
        <w:tc>
          <w:tcPr>
            <w:tcW w:w="1752" w:type="dxa"/>
            <w:vAlign w:val="center"/>
          </w:tcPr>
          <w:p w14:paraId="3C895B1E">
            <w:pPr>
              <w:spacing w:after="0" w:line="240" w:lineRule="auto"/>
            </w:pPr>
            <w:r>
              <w:rPr>
                <w:sz w:val="15"/>
              </w:rPr>
              <w:t>Bachman &amp; Ma... (2025) – CodeEval / RunCodeEval</w:t>
            </w:r>
          </w:p>
        </w:tc>
        <w:tc>
          <w:tcPr>
            <w:tcW w:w="1752" w:type="dxa"/>
            <w:vAlign w:val="center"/>
          </w:tcPr>
          <w:p w14:paraId="087F4830">
            <w:pPr>
              <w:spacing w:after="0" w:line="240" w:lineRule="auto"/>
            </w:pPr>
            <w:r>
              <w:rPr>
                <w:sz w:val="15"/>
              </w:rPr>
              <w:t>Multidimensional coding evaluation</w:t>
            </w:r>
          </w:p>
        </w:tc>
        <w:tc>
          <w:tcPr>
            <w:tcW w:w="1752" w:type="dxa"/>
            <w:vAlign w:val="center"/>
          </w:tcPr>
          <w:p w14:paraId="207EE07D">
            <w:pPr>
              <w:spacing w:after="0" w:line="240" w:lineRule="auto"/>
            </w:pPr>
            <w:r>
              <w:rPr>
                <w:sz w:val="15"/>
              </w:rPr>
              <w:t>1/7 × 100</w:t>
            </w:r>
          </w:p>
        </w:tc>
        <w:tc>
          <w:tcPr>
            <w:tcW w:w="1752" w:type="dxa"/>
            <w:vAlign w:val="center"/>
          </w:tcPr>
          <w:p w14:paraId="07F15200">
            <w:pPr>
              <w:spacing w:after="0" w:line="240" w:lineRule="auto"/>
            </w:pPr>
            <w:r>
              <w:rPr>
                <w:sz w:val="15"/>
              </w:rPr>
              <w:t>14.3%</w:t>
            </w:r>
          </w:p>
        </w:tc>
        <w:tc>
          <w:tcPr>
            <w:tcW w:w="1752" w:type="dxa"/>
            <w:vAlign w:val="center"/>
          </w:tcPr>
          <w:p w14:paraId="2C0A2814">
            <w:pPr>
              <w:spacing w:after="0" w:line="240" w:lineRule="auto"/>
            </w:pPr>
            <w:r>
              <w:rPr>
                <w:sz w:val="15"/>
              </w:rPr>
              <w:t>Partial scope; no single directly comparable project score</w:t>
            </w:r>
          </w:p>
        </w:tc>
      </w:tr>
      <w:tr w14:paraId="654B7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Align w:val="center"/>
          </w:tcPr>
          <w:p w14:paraId="288388DC">
            <w:pPr>
              <w:spacing w:after="0" w:line="240" w:lineRule="auto"/>
            </w:pPr>
            <w:r>
              <w:rPr>
                <w:b/>
                <w:sz w:val="15"/>
              </w:rPr>
              <w:t>13</w:t>
            </w:r>
          </w:p>
        </w:tc>
        <w:tc>
          <w:tcPr>
            <w:tcW w:w="1752" w:type="dxa"/>
            <w:vAlign w:val="center"/>
          </w:tcPr>
          <w:p w14:paraId="389530B2">
            <w:pPr>
              <w:spacing w:after="0" w:line="240" w:lineRule="auto"/>
            </w:pPr>
            <w:r>
              <w:rPr>
                <w:b/>
                <w:sz w:val="15"/>
              </w:rPr>
              <w:t>AIHire (Proposed) – Integrated AI Candidate Assessment</w:t>
            </w:r>
          </w:p>
        </w:tc>
        <w:tc>
          <w:tcPr>
            <w:tcW w:w="1752" w:type="dxa"/>
            <w:vAlign w:val="center"/>
          </w:tcPr>
          <w:p w14:paraId="1BB85461">
            <w:pPr>
              <w:spacing w:after="0" w:line="240" w:lineRule="auto"/>
            </w:pPr>
            <w:r>
              <w:rPr>
                <w:b/>
                <w:sz w:val="15"/>
              </w:rPr>
              <w:t>Integrated recruitment workflow</w:t>
            </w:r>
          </w:p>
        </w:tc>
        <w:tc>
          <w:tcPr>
            <w:tcW w:w="1752" w:type="dxa"/>
            <w:vAlign w:val="center"/>
          </w:tcPr>
          <w:p w14:paraId="32636BCD">
            <w:pPr>
              <w:spacing w:after="0" w:line="240" w:lineRule="auto"/>
            </w:pPr>
            <w:r>
              <w:rPr>
                <w:b/>
                <w:sz w:val="15"/>
              </w:rPr>
              <w:t>7/7 × 100</w:t>
            </w:r>
          </w:p>
        </w:tc>
        <w:tc>
          <w:tcPr>
            <w:tcW w:w="1752" w:type="dxa"/>
            <w:vAlign w:val="center"/>
          </w:tcPr>
          <w:p w14:paraId="3082D18A">
            <w:pPr>
              <w:spacing w:after="0" w:line="240" w:lineRule="auto"/>
            </w:pPr>
            <w:r>
              <w:rPr>
                <w:b/>
                <w:sz w:val="15"/>
              </w:rPr>
              <w:t>100.0%</w:t>
            </w:r>
          </w:p>
        </w:tc>
        <w:tc>
          <w:tcPr>
            <w:tcW w:w="1752" w:type="dxa"/>
            <w:vAlign w:val="center"/>
          </w:tcPr>
          <w:p w14:paraId="193313E0">
            <w:pPr>
              <w:spacing w:after="0" w:line="240" w:lineRule="auto"/>
            </w:pPr>
            <w:r>
              <w:rPr>
                <w:b/>
                <w:sz w:val="15"/>
              </w:rPr>
              <w:t>Proposed system; covers all 7 stated capabilities</w:t>
            </w:r>
          </w:p>
        </w:tc>
      </w:tr>
    </w:tbl>
    <w:p w14:paraId="54FA48EB"/>
    <w:p w14:paraId="4E6D5A3D">
      <w:r>
        <w:rPr>
          <w:b/>
        </w:rPr>
        <w:t xml:space="preserve">Figure 1. </w:t>
      </w:r>
      <w:r>
        <w:t>Qualitative feature-coverage comparison across the 13 approaches.</w:t>
      </w:r>
    </w:p>
    <w:p w14:paraId="78D69B17">
      <w:pPr>
        <w:jc w:val="center"/>
      </w:pPr>
      <w:r>
        <w:drawing>
          <wp:inline distT="0" distB="0" distL="114300" distR="114300">
            <wp:extent cx="6400800" cy="2745740"/>
            <wp:effectExtent l="0" t="0" r="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400800" cy="2746253"/>
                    </a:xfrm>
                    <a:prstGeom prst="rect">
                      <a:avLst/>
                    </a:prstGeom>
                  </pic:spPr>
                </pic:pic>
              </a:graphicData>
            </a:graphic>
          </wp:inline>
        </w:drawing>
      </w:r>
    </w:p>
    <w:p w14:paraId="3D39836B">
      <w:r>
        <w:rPr>
          <w:b/>
        </w:rPr>
        <w:t xml:space="preserve">Figure 2. </w:t>
      </w:r>
      <w:r>
        <w:t>Representative feature coverage compared with the proposed AIHire workflow.</w:t>
      </w:r>
    </w:p>
    <w:p w14:paraId="775A406F">
      <w:pPr>
        <w:jc w:val="center"/>
      </w:pPr>
      <w:r>
        <w:drawing>
          <wp:inline distT="0" distB="0" distL="114300" distR="114300">
            <wp:extent cx="6400800" cy="2858770"/>
            <wp:effectExtent l="0" t="0" r="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400800" cy="2858942"/>
                    </a:xfrm>
                    <a:prstGeom prst="rect">
                      <a:avLst/>
                    </a:prstGeom>
                  </pic:spPr>
                </pic:pic>
              </a:graphicData>
            </a:graphic>
          </wp:inline>
        </w:drawing>
      </w:r>
    </w:p>
    <w:p w14:paraId="0140AF43">
      <w:r>
        <w:rPr>
          <w:rFonts w:hint="default"/>
          <w:b/>
          <w:lang w:val="en-US"/>
        </w:rPr>
        <w:t>2.</w:t>
      </w:r>
      <w:r>
        <w:rPr>
          <w:b/>
        </w:rPr>
        <w:t xml:space="preserve">Important note: </w:t>
      </w:r>
      <w:r>
        <w:t>The percentage above is a derived scope-coverage measure for comparison only. It is not reported experimental accuracy, F1-score, or hiring-performance evidence. The AIHire proposal itself describes an integrated workflow covering resume matching, AI voice interview, Whisper speech-to-text, technical answer evaluation, communication/emotion analysis, coding assessment, and integrated scoring.</w:t>
      </w:r>
    </w:p>
    <w:p w14:paraId="09D4E185"/>
    <w:p w14:paraId="4B1F37BD">
      <w:pPr>
        <w:rPr>
          <w:rFonts w:hint="default"/>
          <w:b/>
          <w:bCs/>
          <w:lang w:val="en-US"/>
        </w:rPr>
      </w:pPr>
      <w:r>
        <w:rPr>
          <w:rFonts w:hint="default"/>
          <w:b/>
          <w:bCs/>
        </w:rPr>
        <w:t>3. Comparative Analysis</w:t>
      </w:r>
      <w:r>
        <w:rPr>
          <w:rFonts w:hint="default"/>
          <w:b/>
          <w:bCs/>
          <w:lang w:val="en-US"/>
        </w:rPr>
        <w:t>:</w:t>
      </w:r>
    </w:p>
    <w:p w14:paraId="054C8AF6">
      <w:pPr>
        <w:rPr>
          <w:rFonts w:hint="default"/>
        </w:rPr>
      </w:pPr>
    </w:p>
    <w:p w14:paraId="7DD13264">
      <w:pPr>
        <w:rPr>
          <w:rFonts w:hint="default"/>
        </w:rPr>
      </w:pPr>
      <w:r>
        <w:rPr>
          <w:rFonts w:hint="default"/>
        </w:rPr>
        <w:t>The proposed AI‑Powered Smart Interview Assessment system was evaluated against traditional manual evaluation methods and baseline automated scoring approaches. The comparison highlights improvements in consistency, speed, and contextual feedback.</w:t>
      </w:r>
    </w:p>
    <w:p w14:paraId="341FE7C1">
      <w:pPr>
        <w:rPr>
          <w:rFonts w:hint="default"/>
        </w:rPr>
      </w:pPr>
    </w:p>
    <w:p w14:paraId="42BDD99D">
      <w:pPr>
        <w:rPr>
          <w:rFonts w:hint="default"/>
        </w:rPr>
      </w:pPr>
      <w:r>
        <w:rPr>
          <w:rFonts w:hint="default"/>
          <w:lang w:val="en-US"/>
        </w:rPr>
        <w:t xml:space="preserve">                                           </w:t>
      </w:r>
      <w:r>
        <w:drawing>
          <wp:inline distT="0" distB="0" distL="114300" distR="114300">
            <wp:extent cx="3473450" cy="304800"/>
            <wp:effectExtent l="0" t="0" r="635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8"/>
                    <a:stretch>
                      <a:fillRect/>
                    </a:stretch>
                  </pic:blipFill>
                  <pic:spPr>
                    <a:xfrm>
                      <a:off x="0" y="0"/>
                      <a:ext cx="3473450" cy="304800"/>
                    </a:xfrm>
                    <a:prstGeom prst="rect">
                      <a:avLst/>
                    </a:prstGeom>
                    <a:noFill/>
                    <a:ln>
                      <a:noFill/>
                    </a:ln>
                  </pic:spPr>
                </pic:pic>
              </a:graphicData>
            </a:graphic>
          </wp:inline>
        </w:drawing>
      </w:r>
    </w:p>
    <w:p w14:paraId="0975C824">
      <w:pPr>
        <w:rPr>
          <w:rFonts w:hint="default"/>
        </w:rPr>
      </w:pPr>
      <w:r>
        <w:drawing>
          <wp:inline distT="0" distB="0" distL="114300" distR="114300">
            <wp:extent cx="6674485" cy="1534795"/>
            <wp:effectExtent l="0" t="0" r="5715" b="190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9"/>
                    <a:stretch>
                      <a:fillRect/>
                    </a:stretch>
                  </pic:blipFill>
                  <pic:spPr>
                    <a:xfrm>
                      <a:off x="0" y="0"/>
                      <a:ext cx="6674485" cy="1534795"/>
                    </a:xfrm>
                    <a:prstGeom prst="rect">
                      <a:avLst/>
                    </a:prstGeom>
                    <a:noFill/>
                    <a:ln>
                      <a:noFill/>
                    </a:ln>
                  </pic:spPr>
                </pic:pic>
              </a:graphicData>
            </a:graphic>
          </wp:inline>
        </w:drawing>
      </w:r>
    </w:p>
    <w:p w14:paraId="21DF6BC5">
      <w:pPr>
        <w:rPr>
          <w:rFonts w:hint="default"/>
        </w:rPr>
      </w:pPr>
    </w:p>
    <w:p w14:paraId="2C71F7C3">
      <w:pPr>
        <w:rPr>
          <w:rFonts w:hint="default"/>
        </w:rPr>
      </w:pPr>
      <w:r>
        <w:rPr>
          <w:rFonts w:hint="default"/>
        </w:rPr>
        <w:t>The proposed project achieved higher recall and F1 scores, showing that the AI system captures more relevant candidate responses while maintaining strong precision.</w:t>
      </w:r>
    </w:p>
    <w:p w14:paraId="790B66AA">
      <w:pPr>
        <w:rPr>
          <w:rFonts w:hint="default"/>
        </w:rPr>
      </w:pPr>
    </w:p>
    <w:p w14:paraId="46E22B65">
      <w:pPr>
        <w:rPr>
          <w:rFonts w:hint="default"/>
        </w:rPr>
      </w:pPr>
      <w:r>
        <w:rPr>
          <w:rFonts w:hint="default"/>
        </w:rPr>
        <w:t>---</w:t>
      </w:r>
    </w:p>
    <w:p w14:paraId="442221D4">
      <w:pPr>
        <w:rPr>
          <w:rFonts w:hint="default"/>
        </w:rPr>
      </w:pPr>
    </w:p>
    <w:p w14:paraId="1BA5793E">
      <w:pPr>
        <w:rPr>
          <w:rFonts w:hint="default"/>
          <w:b/>
          <w:bCs/>
          <w:lang w:val="en-US"/>
        </w:rPr>
      </w:pPr>
      <w:r>
        <w:rPr>
          <w:rFonts w:hint="default"/>
          <w:b/>
          <w:bCs/>
        </w:rPr>
        <w:t xml:space="preserve"> 4. Proposed Project Evaluation Results</w:t>
      </w:r>
      <w:r>
        <w:rPr>
          <w:rFonts w:hint="default"/>
          <w:b/>
          <w:bCs/>
          <w:lang w:val="en-US"/>
        </w:rPr>
        <w:t>:</w:t>
      </w:r>
    </w:p>
    <w:p w14:paraId="778F2C39">
      <w:pPr>
        <w:rPr>
          <w:rFonts w:hint="default"/>
        </w:rPr>
      </w:pPr>
    </w:p>
    <w:p w14:paraId="6952B997">
      <w:pPr>
        <w:rPr>
          <w:rFonts w:hint="default"/>
        </w:rPr>
      </w:pPr>
      <w:r>
        <w:drawing>
          <wp:inline distT="0" distB="0" distL="114300" distR="114300">
            <wp:extent cx="6673850" cy="2051685"/>
            <wp:effectExtent l="0" t="0" r="6350" b="571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0"/>
                    <a:stretch>
                      <a:fillRect/>
                    </a:stretch>
                  </pic:blipFill>
                  <pic:spPr>
                    <a:xfrm>
                      <a:off x="0" y="0"/>
                      <a:ext cx="6673850" cy="2051685"/>
                    </a:xfrm>
                    <a:prstGeom prst="rect">
                      <a:avLst/>
                    </a:prstGeom>
                    <a:noFill/>
                    <a:ln>
                      <a:noFill/>
                    </a:ln>
                  </pic:spPr>
                </pic:pic>
              </a:graphicData>
            </a:graphic>
          </wp:inline>
        </w:drawing>
      </w:r>
    </w:p>
    <w:p w14:paraId="14F901D4">
      <w:pPr>
        <w:rPr>
          <w:rFonts w:hint="default"/>
        </w:rPr>
      </w:pPr>
      <w:r>
        <w:rPr>
          <w:rFonts w:hint="default"/>
        </w:rPr>
        <w:t>---</w:t>
      </w:r>
    </w:p>
    <w:p w14:paraId="72EEC7B2">
      <w:pPr>
        <w:rPr>
          <w:rFonts w:hint="default"/>
          <w:b/>
          <w:bCs/>
          <w:lang w:val="en-US"/>
        </w:rPr>
      </w:pPr>
      <w:r>
        <w:rPr>
          <w:rFonts w:hint="default"/>
          <w:b/>
          <w:bCs/>
        </w:rPr>
        <w:t xml:space="preserve"> </w:t>
      </w:r>
      <w:r>
        <w:rPr>
          <w:rFonts w:hint="default"/>
          <w:b/>
          <w:bCs/>
          <w:lang w:val="en-US"/>
        </w:rPr>
        <w:t>5</w:t>
      </w:r>
      <w:r>
        <w:rPr>
          <w:rFonts w:hint="default"/>
          <w:b/>
          <w:bCs/>
        </w:rPr>
        <w:t>. Comparative Discussion</w:t>
      </w:r>
      <w:r>
        <w:rPr>
          <w:rFonts w:hint="default"/>
          <w:b/>
          <w:bCs/>
          <w:lang w:val="en-US"/>
        </w:rPr>
        <w:t>:</w:t>
      </w:r>
    </w:p>
    <w:p w14:paraId="2DBA7F32">
      <w:pPr>
        <w:rPr>
          <w:rFonts w:hint="default"/>
        </w:rPr>
      </w:pPr>
      <w:r>
        <w:rPr>
          <w:rFonts w:hint="default"/>
        </w:rPr>
        <w:t xml:space="preserve">- Traditional manual evaluation is reliable but slow and inconsistent.  </w:t>
      </w:r>
    </w:p>
    <w:p w14:paraId="01E5B6C3">
      <w:pPr>
        <w:rPr>
          <w:rFonts w:hint="default"/>
        </w:rPr>
      </w:pPr>
      <w:r>
        <w:rPr>
          <w:rFonts w:hint="default"/>
        </w:rPr>
        <w:t xml:space="preserve">- Rule‑based scoring systems are faster but miss contextual meaning.  </w:t>
      </w:r>
    </w:p>
    <w:p w14:paraId="31C78CE4">
      <w:pPr>
        <w:rPr>
          <w:rFonts w:hint="default"/>
        </w:rPr>
      </w:pPr>
      <w:r>
        <w:rPr>
          <w:rFonts w:hint="default"/>
        </w:rPr>
        <w:t xml:space="preserve">- The proposed AI system combines semantic analysis, scoring metrics, and structured feedback to deliver faster, more consistent, and explainable results.  </w:t>
      </w:r>
    </w:p>
    <w:p w14:paraId="78DFA2E2">
      <w:pPr>
        <w:rPr>
          <w:rFonts w:hint="default"/>
        </w:rPr>
      </w:pPr>
      <w:r>
        <w:rPr>
          <w:rFonts w:hint="default"/>
        </w:rPr>
        <w:t>- While prototype results are promising, larger datasets and diverse interview scenarios are needed for broader validation.</w:t>
      </w:r>
    </w:p>
    <w:p w14:paraId="34A2A774">
      <w:pPr>
        <w:rPr>
          <w:rFonts w:hint="default"/>
        </w:rPr>
      </w:pPr>
      <w:r>
        <w:rPr>
          <w:rFonts w:hint="default"/>
        </w:rPr>
        <w:t>---</w:t>
      </w:r>
    </w:p>
    <w:p w14:paraId="6AAFFDD2">
      <w:pPr>
        <w:rPr>
          <w:rFonts w:hint="default"/>
          <w:b/>
          <w:bCs/>
          <w:lang w:val="en-US"/>
        </w:rPr>
      </w:pPr>
      <w:r>
        <w:rPr>
          <w:rFonts w:hint="default"/>
          <w:b/>
          <w:bCs/>
        </w:rPr>
        <w:t xml:space="preserve"> </w:t>
      </w:r>
      <w:r>
        <w:rPr>
          <w:rFonts w:hint="default"/>
          <w:b/>
          <w:bCs/>
          <w:lang w:val="en-US"/>
        </w:rPr>
        <w:t>6</w:t>
      </w:r>
      <w:r>
        <w:rPr>
          <w:rFonts w:hint="default"/>
          <w:b/>
          <w:bCs/>
        </w:rPr>
        <w:t>. Conclusion</w:t>
      </w:r>
      <w:r>
        <w:rPr>
          <w:rFonts w:hint="default"/>
          <w:b/>
          <w:bCs/>
          <w:lang w:val="en-US"/>
        </w:rPr>
        <w:t>:</w:t>
      </w:r>
    </w:p>
    <w:p w14:paraId="3C6AF834">
      <w:pPr>
        <w:rPr>
          <w:rFonts w:hint="default"/>
        </w:rPr>
      </w:pPr>
      <w:r>
        <w:rPr>
          <w:rFonts w:hint="default"/>
        </w:rPr>
        <w:t>The AI‑Powered Smart Interview Assessment project demonstrates that integrating large language models with structured evaluation pipelines can significantly improve interview scoring. The system provides higher recall, better contextual feedback, and reduces evaluator workload. Future work includes expanding datasets, supporting more languages, and benchmarking against industry‑standard HR tools.</w:t>
      </w:r>
    </w:p>
    <w:p w14:paraId="4E5321B7">
      <w:pPr>
        <w:rPr>
          <w:rFonts w:hint="default"/>
        </w:rPr>
      </w:pPr>
      <w:r>
        <w:rPr>
          <w:rFonts w:hint="default"/>
        </w:rPr>
        <w:t>---</w:t>
      </w:r>
    </w:p>
    <w:p w14:paraId="287CA443">
      <w:pPr>
        <w:rPr>
          <w:rFonts w:hint="default"/>
          <w:b/>
          <w:bCs/>
          <w:lang w:val="en-US"/>
        </w:rPr>
      </w:pPr>
      <w:r>
        <w:rPr>
          <w:rFonts w:hint="default"/>
          <w:b/>
          <w:bCs/>
        </w:rPr>
        <w:t xml:space="preserve"> </w:t>
      </w:r>
      <w:r>
        <w:rPr>
          <w:rFonts w:hint="default"/>
          <w:b/>
          <w:bCs/>
          <w:lang w:val="en-US"/>
        </w:rPr>
        <w:t>7</w:t>
      </w:r>
      <w:r>
        <w:rPr>
          <w:rFonts w:hint="default"/>
          <w:b/>
          <w:bCs/>
        </w:rPr>
        <w:t>. References</w:t>
      </w:r>
      <w:r>
        <w:rPr>
          <w:rFonts w:hint="default"/>
          <w:b/>
          <w:bCs/>
          <w:lang w:val="en-US"/>
        </w:rPr>
        <w:t>:</w:t>
      </w:r>
      <w:bookmarkStart w:id="0" w:name="_GoBack"/>
      <w:bookmarkEnd w:id="0"/>
    </w:p>
    <w:p w14:paraId="3E731CD9">
      <w:pPr>
        <w:rPr>
          <w:rFonts w:hint="default"/>
        </w:rPr>
      </w:pPr>
      <w:r>
        <w:rPr>
          <w:rFonts w:hint="default"/>
        </w:rPr>
        <w:t xml:space="preserve">- Research on AI‑based interview evaluation (2024).  </w:t>
      </w:r>
    </w:p>
    <w:p w14:paraId="64970EA7">
      <w:pPr>
        <w:rPr>
          <w:rFonts w:hint="default"/>
        </w:rPr>
      </w:pPr>
      <w:r>
        <w:rPr>
          <w:rFonts w:hint="default"/>
        </w:rPr>
        <w:t xml:space="preserve">- Studies on LLMs for semantic scoring.  </w:t>
      </w:r>
    </w:p>
    <w:p w14:paraId="76842229">
      <w:pPr>
        <w:rPr>
          <w:rFonts w:hint="default"/>
        </w:rPr>
      </w:pPr>
      <w:r>
        <w:rPr>
          <w:rFonts w:hint="default"/>
        </w:rPr>
        <w:t xml:space="preserve">- Comparative works on automated HR assessment tools.  </w:t>
      </w:r>
    </w:p>
    <w:p w14:paraId="685E60E5"/>
    <w:sectPr>
      <w:pgSz w:w="12240" w:h="15840"/>
      <w:pgMar w:top="864" w:right="864" w:bottom="864" w:left="8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E60C72"/>
    <w:rsid w:val="34D5739A"/>
    <w:rsid w:val="3B9E4F5D"/>
    <w:rsid w:val="67E27EFC"/>
    <w:rsid w:val="6DDF49CF"/>
    <w:rsid w:val="724A19B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450</Words>
  <Characters>2680</Characters>
  <Lines>0</Lines>
  <Paragraphs>0</Paragraphs>
  <TotalTime>9</TotalTime>
  <ScaleCrop>false</ScaleCrop>
  <LinksUpToDate>false</LinksUpToDate>
  <CharactersWithSpaces>3041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DONTHI REDDY KRISHNA CHAITANYA 2420090077</cp:lastModifiedBy>
  <dcterms:modified xsi:type="dcterms:W3CDTF">2026-09-25T07:06:08Z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eyJoZGlkIjoiZjE1ZTJkOTdjYTg4ZWYxY2NjYmU5ZGJlY2Y5NGJkYjIiLCJ1c2VySWQiOiI1NDk3Njc4OTg0MDQifQ==</vt:lpwstr>
  </property>
  <property fmtid="{D5CDD505-2E9C-101B-9397-08002B2CF9AE}" pid="3" name="KSOProductBuildVer">
    <vt:lpwstr>1033-12.1.0.29162</vt:lpwstr>
  </property>
  <property fmtid="{D5CDD505-2E9C-101B-9397-08002B2CF9AE}" pid="4" name="ICV">
    <vt:lpwstr>D0C7D447048A47D8AA46C741DA24C5C6_13</vt:lpwstr>
  </property>
</Properties>
</file>