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Data</w:t>
      </w:r>
    </w:p>
    <w:p>
      <w:pPr>
        <w:spacing w:line="480" w:lineRule="auto" w:after="120"/>
        <w:jc w:val="both"/>
      </w:pPr>
      <w:r>
        <w:rPr>
          <w:b/>
        </w:rPr>
        <w:t>DroPhenix: an integrated, statistically rigorous web platform for multi-assay *Drosophila* phenotyping and actuarial cross-strain compound ranking</w:t>
      </w:r>
    </w:p>
    <w:p>
      <w:pPr>
        <w:spacing w:line="480" w:lineRule="auto" w:after="120"/>
        <w:jc w:val="both"/>
      </w:pPr>
      <w:r>
        <w:t>Gunanathan K. and Sivaramakrishnan V.</w:t>
      </w:r>
    </w:p>
    <w:p>
      <w:pPr>
        <w:spacing w:after="160"/>
      </w:pPr>
      <w:r>
        <w:rPr>
          <w:i/>
          <w:color w:val="5A5A5A"/>
          <w:sz w:val="19"/>
        </w:rPr>
        <w:t>All values below are produced by the runnable scripts shipped with the software and are exactly reproducible: `validation/run_all.py` (per-module validation), `validation/comparison_study.py` (cross-tool benchmark; writes `validation/comparison_report.md`), and `validation/demo_unequal_n.py` (unequal-N demonstration).</w:t>
      </w:r>
    </w:p>
    <w:p>
      <w:pPr>
        <w:pStyle w:val="Heading1"/>
      </w:pPr>
      <w:r>
        <w:t>Supplementary Table S1. Complete head-to-head comparison with established tools</w:t>
      </w:r>
    </w:p>
    <w:p>
      <w:pPr>
        <w:spacing w:line="480" w:lineRule="auto" w:after="120"/>
        <w:jc w:val="both"/>
      </w:pPr>
      <w:r>
        <w:t xml:space="preserve">Every quantitative comparison performed, on identical benchmark data (Freireich 1963 6-MP trial; PlantGrowth; a known 24-h rhythm; a fixed effect-size set). "Agree" = within the stated tolerance. Two method-note rows (marked </w:t>
      </w:r>
      <w:r>
        <w:rPr>
          <w:i/>
        </w:rPr>
        <w:t>note</w:t>
      </w:r>
      <w:r>
        <w:t>) are reported for completeness and are not counted as discrepancies.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Domain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DroPhenix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Reference tool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Reference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Agree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6-MP (weeks)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Placebo (weeks)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χ²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Cox HR Breslow (vs published 4.523)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Klein–Moeschberger 2003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Cox HR Efron (tie-method </w:t>
            </w:r>
            <w:r>
              <w:rPr>
                <w:rFonts w:ascii="Arial" w:hAnsi="Arial"/>
                <w:i/>
                <w:sz w:val="17"/>
              </w:rPr>
              <w:t>note</w:t>
            </w:r>
            <w:r>
              <w:rPr>
                <w:rFonts w:ascii="Arial" w:hAnsi="Arial"/>
                <w:sz w:val="17"/>
              </w:rPr>
              <w:t>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 (Efron)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4.81687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i/>
                <w:sz w:val="17"/>
              </w:rPr>
              <w:t>note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One-way ANOVA 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scipy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4.84609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ANOVA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scipy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Kruskal–Wallis H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scipy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One-way ANOVA 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pingouin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4.84609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Hedges' g (trt2 vs ctrl)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0.91404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pingouin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0.91404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Pooled effect (fixed)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0.41034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0.41034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Pooled effect (DL random)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0.42883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0.42883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Heterogeneity I² (%)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27.72586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27.72586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Dominant period (h) [true 24]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ground truth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Dominant period (h)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astropy (Lomb–Scargle)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23.96404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6-MP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survfit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Placebo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survfit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χ²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survdiff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survdiff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Cox HR (Breslow)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coxph(breslow)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4.52307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stats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ANOVA 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aov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4.84609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stats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ANOVA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aov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stats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Kruskal–Wallis H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kruskal.test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Dominant period (h)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pyBOAT (wavelet)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23.9598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scikit-survival (</w:t>
            </w:r>
            <w:r>
              <w:rPr>
                <w:rFonts w:ascii="Arial" w:hAnsi="Arial"/>
                <w:i/>
                <w:sz w:val="17"/>
              </w:rPr>
              <w:t>note</w:t>
            </w:r>
            <w:r>
              <w:rPr>
                <w:rFonts w:ascii="Arial" w:hAnsi="Arial"/>
                <w:sz w:val="17"/>
              </w:rPr>
              <w:t>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scikit-survival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not installable (no C toolchain / no Python 3.13 wheel)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i/>
                <w:sz w:val="17"/>
              </w:rPr>
              <w:t>note</w:t>
            </w:r>
          </w:p>
        </w:tc>
      </w:tr>
    </w:tbl>
    <w:p/>
    <w:p>
      <w:pPr>
        <w:spacing w:line="480" w:lineRule="auto" w:after="120"/>
        <w:jc w:val="both"/>
      </w:pPr>
      <w:r>
        <w:rPr>
          <w:b/>
        </w:rPr>
        <w:t>24/24 quantitative comparisons agree within tolerance (Pearson r = 1.0000 across DroPhenix vs reference values).</w:t>
      </w:r>
      <w:r>
        <w:t xml:space="preserve"> The two </w:t>
      </w:r>
      <w:r>
        <w:rPr>
          <w:i/>
        </w:rPr>
        <w:t>note</w:t>
      </w:r>
      <w:r>
        <w:t xml:space="preserve"> rows are the Efron tie-method value and the un-buildable scikit-survival package; survival is independently cross-validated against R </w:t>
      </w:r>
      <w:r>
        <w:rPr>
          <w:rFonts w:ascii="Consolas" w:hAnsi="Consolas"/>
          <w:sz w:val="19"/>
        </w:rPr>
        <w:t>survival</w:t>
      </w:r>
      <w:r>
        <w:t xml:space="preserve"> (Breslow) and lifelines (Efron).</w:t>
      </w:r>
    </w:p>
    <w:p>
      <w:pPr>
        <w:pStyle w:val="Heading1"/>
      </w:pPr>
      <w:r>
        <w:t>Supplementary Table S2. Per-module validation against published benchmarks / analytic ground truth</w:t>
      </w:r>
    </w:p>
    <w:p>
      <w:pPr>
        <w:spacing w:line="480" w:lineRule="auto" w:after="120"/>
        <w:jc w:val="both"/>
      </w:pPr>
      <w:r>
        <w:t xml:space="preserve">Each row is an automated test in </w:t>
      </w:r>
      <w:r>
        <w:rPr>
          <w:rFonts w:ascii="Consolas" w:hAnsi="Consolas"/>
          <w:sz w:val="19"/>
        </w:rPr>
        <w:t>validation/</w:t>
      </w:r>
      <w:r>
        <w:t xml:space="preserve"> (all pass).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Module / script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Benchmark (source)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Reproduced result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validate_stats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PlantGrowth ANOVA/Kruskal (Dobson 1983)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F=4.846, p=0.01591; H=7.988; Cohen's d, Hedges' g, BH hand-checked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validate_survival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Freireich 1963 6-MP leukemia trial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23/8 wk; log-rank χ²=16.793; Gehan–Breslow 13.458; Cox HR 4.523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validate_ymaze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Buchanan/de Bivort 2015; Lewis 2017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turn-bias mean 0.50; 23.5% extreme; alternation chance 50%; individuality sig vs null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validate_dams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Konopka &amp; Benzer 1971; Sokolove–Bushell 1978; Hendricks/Shaw 2000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periods 24/19/28 h; 100% sensitivity, 0% false-positive; exact 4↔5-min sleep boundary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validate_video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synthetic ground-truth climbing clips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 fly counts and PI (8/4→33.3; 3/9→−50)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validate_larval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known-velocity clip; Gargano 2005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 recovered speed; WT ≈1 mm s⁻¹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validate_grooming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Qiao 2018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 bout arithmetic; WT ≈13% time grooming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validate_metrics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analytic ground truth (5 sample sets)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MDR k-recovery Pearson r=0.989, median R²=0.99; SDQ, TSW exact; CRI ordinal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validate_trajectory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known shape families (4 seeds)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DTW clustering purity = 1.0 (2 clusters)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validate_drug_ranking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 meta-analysis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inverse-variance/DL pooling exact; ranking A&gt;B&gt;C; unequal-N flagged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validate_synthetic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unified cohort coherence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disease-selective drug effect on all four assays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demo_unequal_n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Monte-Carlo simulation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see Supplementary Note S1</w:t>
            </w:r>
          </w:p>
        </w:tc>
      </w:tr>
    </w:tbl>
    <w:p/>
    <w:p>
      <w:pPr>
        <w:pStyle w:val="Heading1"/>
      </w:pPr>
      <w:r>
        <w:t>Supplementary Note S1. Unequal-N cross-strain compound comparison</w:t>
      </w:r>
    </w:p>
    <w:p>
      <w:pPr>
        <w:spacing w:line="480" w:lineRule="auto" w:after="120"/>
        <w:jc w:val="both"/>
      </w:pPr>
      <w:r>
        <w:rPr>
          <w:b/>
        </w:rPr>
        <w:t>Worked example</w:t>
      </w:r>
      <w:r>
        <w:t xml:space="preserve"> — one compound vs vehicle in four disease strains of unequal size. Per-strain effect is Hedges' </w:t>
      </w:r>
      <w:r>
        <w:rPr>
          <w:i/>
        </w:rPr>
        <w:t>g</w:t>
      </w:r>
      <w:r>
        <w:t>; precision weight wᵢ = 1/Var(gᵢ).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Strain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n (per arm)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Hedges' 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Var(g)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Weight (%)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TDP43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0.394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0.446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19.6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SOD1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0.074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0.379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23.1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FUS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0.371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0.335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26.1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HTT-Q93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0.840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0.280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31.2</w:t>
            </w:r>
          </w:p>
        </w:tc>
      </w:tr>
    </w:tbl>
    <w:p/>
    <w:p>
      <w:pPr>
        <w:spacing w:line="480" w:lineRule="auto" w:after="120"/>
        <w:jc w:val="both"/>
      </w:pPr>
      <w:r>
        <w:t xml:space="preserve">Naïve equal-weight mean of </w:t>
      </w:r>
      <w:r>
        <w:rPr>
          <w:i/>
        </w:rPr>
        <w:t>g</w:t>
      </w:r>
      <w:r>
        <w:t xml:space="preserve"> = 0.420; inverse-variance pooled (fixed) = 0.453; DerSimonian–Laird random-effects pooled = 0.453 (Q = 0.943, τ² = 0.000, I² = 0.0%). The larger strain carries proportionally more weight; the small n = 3 strain is down-weighted rather than dominating or being discarded.</w:t>
      </w:r>
    </w:p>
    <w:p>
      <w:pPr>
        <w:spacing w:line="480" w:lineRule="auto" w:after="120"/>
        <w:jc w:val="both"/>
      </w:pPr>
      <w:r>
        <w:rPr>
          <w:b/>
        </w:rPr>
        <w:t>Estimator efficiency (simulation)</w:t>
      </w:r>
      <w:r>
        <w:t xml:space="preserve"> — 3000 simulations, true g = 0.7, strain sizes {3, 7, 5, 4, 9}: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Estimator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RMSE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Sampling variance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95% CI coverage</w:t>
            </w:r>
          </w:p>
        </w:tc>
      </w:tr>
      <w:tr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Naïve equal-weight mean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0.334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0.111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Inverse-variance pooled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0.267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0.066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95.8%</w:t>
            </w:r>
          </w:p>
        </w:tc>
      </w:tr>
    </w:tbl>
    <w:p/>
    <w:p>
      <w:pPr>
        <w:spacing w:line="480" w:lineRule="auto" w:after="120"/>
        <w:jc w:val="both"/>
      </w:pPr>
      <w:r>
        <w:t xml:space="preserve">Inverse-variance pooling reduces RMSE by </w:t>
      </w:r>
      <w:r>
        <w:rPr>
          <w:b/>
        </w:rPr>
        <w:t>19.9%</w:t>
      </w:r>
      <w:r>
        <w:t xml:space="preserve"> and is well-calibrated (coverage ≈ nominal), confirming it is the efficient, correct estimator under unequal N (Figure 2).</w:t>
      </w:r>
    </w:p>
    <w:sectPr w:rsidR="00FC693F" w:rsidRPr="0006063C" w:rsidSect="00034616">
      <w:pgSz w:w="12240" w:h="15840"/>
      <w:pgMar w:top="1440" w:right="1440" w:bottom="1440" w:left="1440" w:header="720" w:footer="720" w:gutter="0"/>
      <w:lnNumType w:countBy="1" w:restart="continuous" w:distance="36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