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Data</w:t>
      </w:r>
    </w:p>
    <w:p>
      <w:pPr>
        <w:spacing w:line="480" w:lineRule="auto" w:after="120"/>
        <w:jc w:val="both"/>
      </w:pPr>
      <w:r>
        <w:rPr>
          <w:b/>
        </w:rPr>
        <w:t>DroPhenix: an integrated, statistically rigorous web platform for multi-assay *Drosophila* phenotyping and actuarial cross-strain compound ranking</w:t>
      </w:r>
    </w:p>
    <w:p>
      <w:pPr>
        <w:spacing w:line="480" w:lineRule="auto" w:after="120"/>
        <w:jc w:val="both"/>
      </w:pPr>
      <w:r>
        <w:t>Gunanathan K. and Sivaramakrishnan V.</w:t>
      </w:r>
    </w:p>
    <w:p>
      <w:pPr>
        <w:spacing w:after="160"/>
      </w:pPr>
      <w:r>
        <w:rPr>
          <w:i/>
          <w:color w:val="5A5A5A"/>
          <w:sz w:val="19"/>
        </w:rPr>
        <w:t>All values below are produced by the runnable scripts shipped with the software and are exactly reproducible: `validation/run_all.py` (per-module validation), `validation/comparison_study.py` (cross-tool benchmark; writes `validation/comparison_report.md`), and `validation/demo_unequal_n.py` (unequal-N demonstration).</w:t>
      </w:r>
    </w:p>
    <w:p>
      <w:pPr>
        <w:pStyle w:val="Heading1"/>
      </w:pPr>
      <w:r>
        <w:t>Supplementary Table S1. Complete head-to-head comparison with established tools</w:t>
      </w:r>
    </w:p>
    <w:p>
      <w:pPr>
        <w:spacing w:line="480" w:lineRule="auto" w:after="120"/>
        <w:jc w:val="both"/>
      </w:pPr>
      <w:r>
        <w:t xml:space="preserve">Every quantitative comparison performed, on identical benchmark data (Freireich 1963 6-MP trial; PlantGrowth; a known 24-h rhythm; a fixed effect-size set). "Agree" = within the stated tolerance. Two method-note rows (marked </w:t>
      </w:r>
      <w:r>
        <w:rPr>
          <w:i/>
        </w:rPr>
        <w:t>note</w:t>
      </w:r>
      <w:r>
        <w:t>) are reported for completeness and are not counted as discrepancies.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Domain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DroPhenix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Reference tool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Reference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Agree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 6-MP (weeks)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lifelines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 Placebo (weeks)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8.0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lifelines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8.0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χ²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16.7929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lifelines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16.79294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p-value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4.2×10⁻⁵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lifelines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4.2×10⁻⁵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Cox HR Breslow (vs published 4.523)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Klein–Moeschberger 2003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Cox HR Efron (tie-method </w:t>
            </w:r>
            <w:r>
              <w:rPr>
                <w:rFonts w:ascii="Arial" w:hAnsi="Arial"/>
                <w:i/>
                <w:sz w:val="17"/>
              </w:rPr>
              <w:t>note</w:t>
            </w:r>
            <w:r>
              <w:rPr>
                <w:rFonts w:ascii="Arial" w:hAnsi="Arial"/>
                <w:sz w:val="17"/>
              </w:rPr>
              <w:t>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lifelines (Efron)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4.81687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i/>
                <w:sz w:val="17"/>
              </w:rPr>
              <w:t>note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One-way ANOVA F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scipy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4.84609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ANOVA p-value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0.01591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scipy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0.01591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Kruskal–Wallis H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7.9882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scipy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7.98823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One-way ANOVA F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pingouin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4.84609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Hedges' g (trt2 vs ctrl)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0.91404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pingouin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0.91404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Meta-analysis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Pooled effect (fixed)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0.41034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0.41034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Meta-analysis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Pooled effect (DL random)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0.42883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0.42883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Meta-analysis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Heterogeneity I² (%)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27.72586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27.72586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Circadian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Dominant period (h) [true 24]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24.0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ground truth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24.0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Circadian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Dominant period (h)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24.0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astropy (Lomb–Scargle)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23.96404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 6-MP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survfit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 Placebo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8.0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survfit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8.0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χ²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16.7929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survdiff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16.79294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p-value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4.2×10⁻⁵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survdiff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4.2×10⁻⁵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Cox HR (Breslow)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coxph(breslow)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4.52307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stats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ANOVA F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aov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4.84609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stats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ANOVA p-value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0.01591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aov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0.01591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R: stats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Kruskal–Wallis H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7.9882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kruskal.test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7.98823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Circadian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Dominant period (h)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24.0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pyBOAT (wavelet)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23.9598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scikit-survival (</w:t>
            </w:r>
            <w:r>
              <w:rPr>
                <w:rFonts w:ascii="Arial" w:hAnsi="Arial"/>
                <w:i/>
                <w:sz w:val="17"/>
              </w:rPr>
              <w:t>note</w:t>
            </w:r>
            <w:r>
              <w:rPr>
                <w:rFonts w:ascii="Arial" w:hAnsi="Arial"/>
                <w:sz w:val="17"/>
              </w:rPr>
              <w:t>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scikit-survival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not installable (no C toolchain / no Python 3.13 wheel)</w:t>
            </w:r>
          </w:p>
        </w:tc>
        <w:tc>
          <w:tcPr>
            <w:tcW w:type="dxa" w:w="1560"/>
          </w:tcPr>
          <w:p>
            <w:pPr>
              <w:spacing w:after="20" w:line="240" w:lineRule="auto"/>
            </w:pPr>
            <w:r>
              <w:rPr>
                <w:rFonts w:ascii="Arial" w:hAnsi="Arial"/>
                <w:i/>
                <w:sz w:val="17"/>
              </w:rPr>
              <w:t>note</w:t>
            </w:r>
          </w:p>
        </w:tc>
      </w:tr>
    </w:tbl>
    <w:p/>
    <w:p>
      <w:pPr>
        <w:spacing w:line="480" w:lineRule="auto" w:after="120"/>
        <w:jc w:val="both"/>
      </w:pPr>
      <w:r>
        <w:rPr>
          <w:b/>
        </w:rPr>
        <w:t>24/24 quantitative comparisons agree within tolerance (Pearson r = 1.0000 across DroPhenix vs reference values).</w:t>
      </w:r>
      <w:r>
        <w:t xml:space="preserve"> The two </w:t>
      </w:r>
      <w:r>
        <w:rPr>
          <w:i/>
        </w:rPr>
        <w:t>note</w:t>
      </w:r>
      <w:r>
        <w:t xml:space="preserve"> rows are the Efron tie-method value and the un-buildable scikit-survival package; survival is independently cross-validated against R </w:t>
      </w:r>
      <w:r>
        <w:rPr>
          <w:rFonts w:ascii="Consolas" w:hAnsi="Consolas"/>
          <w:sz w:val="19"/>
        </w:rPr>
        <w:t>survival</w:t>
      </w:r>
      <w:r>
        <w:t xml:space="preserve"> (Breslow) and lifelines (Efron).</w:t>
      </w:r>
    </w:p>
    <w:p>
      <w:pPr>
        <w:pStyle w:val="Heading1"/>
      </w:pPr>
      <w:r>
        <w:t>Supplementary Table S2. Per-module validation against published benchmarks / analytic ground truth</w:t>
      </w:r>
    </w:p>
    <w:p>
      <w:pPr>
        <w:spacing w:line="480" w:lineRule="auto" w:after="120"/>
        <w:jc w:val="both"/>
      </w:pPr>
      <w:r>
        <w:t xml:space="preserve">Each row is an automated test in </w:t>
      </w:r>
      <w:r>
        <w:rPr>
          <w:rFonts w:ascii="Consolas" w:hAnsi="Consolas"/>
          <w:sz w:val="19"/>
        </w:rPr>
        <w:t>validation/</w:t>
      </w:r>
      <w:r>
        <w:t xml:space="preserve"> (all pass).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Module / script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Benchmark (source)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Reproduced result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validate_stats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PlantGrowth ANOVA/Kruskal (Dobson 1983)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F=4.846, p=0.01591; H=7.988; Cohen's d, Hedges' g, BH hand-checked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validate_survival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Freireich 1963 6-MP leukemia trial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 23/8 wk; log-rank χ²=16.793; Gehan–Breslow 13.458; Cox HR 4.523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validate_ymaze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Buchanan/de Bivort 2015; Lewis 2017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turn-bias mean 0.50; 23.5% extreme; alternation chance 50%; individuality sig vs null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validate_dams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Konopka &amp; Benzer 1971; Sokolove–Bushell 1978; Hendricks/Shaw 2000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periods 24/19/28 h; 100% sensitivity, 0% false-positive; exact 4↔5-min sleep boundary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validate_video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synthetic ground-truth climbing clips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exact fly counts and PI (8/4→33.3; 3/9→−50)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validate_larval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known-velocity clip; Gargano 2005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exact recovered speed; WT ≈1 mm s⁻¹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validate_grooming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Qiao 2018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exact bout arithmetic; WT ≈13% time grooming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validate_metrics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analytic ground truth (5 sample sets)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MDR k-recovery Pearson r=0.989, median R²=0.99; SDQ, TSW exact; CRI ordinal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validate_trajectory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known shape families (4 seeds)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DTW clustering purity = 1.0 (2 clusters)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validate_drug_ranking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 meta-analysis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inverse-variance/DL pooling exact; ranking A&gt;B&gt;C; unequal-N flagged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validate_synthetic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unified cohort coherence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disease-selective drug effect on all four assays</w:t>
            </w:r>
          </w:p>
        </w:tc>
      </w:tr>
      <w:tr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demo_unequal_n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Monte-Carlo simulation</w:t>
            </w:r>
          </w:p>
        </w:tc>
        <w:tc>
          <w:tcPr>
            <w:tcW w:type="dxa" w:w="312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see Supplementary Note S1</w:t>
            </w:r>
          </w:p>
        </w:tc>
      </w:tr>
    </w:tbl>
    <w:p/>
    <w:p>
      <w:pPr>
        <w:pStyle w:val="Heading1"/>
      </w:pPr>
      <w:r>
        <w:t>Supplementary Note S1. Unequal-N cross-strain compound comparison</w:t>
      </w:r>
    </w:p>
    <w:p>
      <w:pPr>
        <w:spacing w:line="480" w:lineRule="auto" w:after="120"/>
        <w:jc w:val="both"/>
      </w:pPr>
      <w:r>
        <w:rPr>
          <w:b/>
        </w:rPr>
        <w:t>Worked example</w:t>
      </w:r>
      <w:r>
        <w:t xml:space="preserve"> — one compound vs vehicle in four disease strains of unequal size. Per-strain effect is Hedges' </w:t>
      </w:r>
      <w:r>
        <w:rPr>
          <w:i/>
        </w:rPr>
        <w:t>g</w:t>
      </w:r>
      <w:r>
        <w:t>; precision weight wᵢ = 1/Var(gᵢ).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Strain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n (per arm)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Hedges' 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Var(g)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Weight (%)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TDP43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0.394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0.446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19.6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SOD1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0.074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0.379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23.1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FUS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0.371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0.335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26.1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HTT-Q93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0.840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0.280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31.2</w:t>
            </w:r>
          </w:p>
        </w:tc>
      </w:tr>
    </w:tbl>
    <w:p/>
    <w:p>
      <w:pPr>
        <w:spacing w:line="480" w:lineRule="auto" w:after="120"/>
        <w:jc w:val="both"/>
      </w:pPr>
      <w:r>
        <w:t xml:space="preserve">Naïve equal-weight mean of </w:t>
      </w:r>
      <w:r>
        <w:rPr>
          <w:i/>
        </w:rPr>
        <w:t>g</w:t>
      </w:r>
      <w:r>
        <w:t xml:space="preserve"> = 0.420; inverse-variance pooled (fixed) = 0.453; DerSimonian–Laird random-effects pooled = 0.453 (Q = 0.943, τ² = 0.000, I² = 0.0%). The larger strain carries proportionally more weight; the small n = 3 strain is down-weighted rather than dominating or being discarded.</w:t>
      </w:r>
    </w:p>
    <w:p>
      <w:pPr>
        <w:spacing w:line="480" w:lineRule="auto" w:after="120"/>
        <w:jc w:val="both"/>
      </w:pPr>
      <w:r>
        <w:rPr>
          <w:b/>
        </w:rPr>
        <w:t>Estimator efficiency (simulation)</w:t>
      </w:r>
      <w:r>
        <w:t xml:space="preserve"> — 3000 simulations, true g = 0.7, strain sizes {3, 7, 5, 4, 9}: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Estimator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RMSE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Sampling variance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95% CI coverage</w:t>
            </w:r>
          </w:p>
        </w:tc>
      </w:tr>
      <w:tr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Naïve equal-weight mean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0.334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0.111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Inverse-variance pooled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0.267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0.066</w:t>
            </w:r>
          </w:p>
        </w:tc>
        <w:tc>
          <w:tcPr>
            <w:tcW w:type="dxa" w:w="234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95.8%</w:t>
            </w:r>
          </w:p>
        </w:tc>
      </w:tr>
    </w:tbl>
    <w:p/>
    <w:p>
      <w:pPr>
        <w:spacing w:line="480" w:lineRule="auto" w:after="120"/>
        <w:jc w:val="both"/>
      </w:pPr>
      <w:r>
        <w:t xml:space="preserve">Inverse-variance pooling reduces RMSE by </w:t>
      </w:r>
      <w:r>
        <w:rPr>
          <w:b/>
        </w:rPr>
        <w:t>19.9%</w:t>
      </w:r>
      <w:r>
        <w:t xml:space="preserve"> and is well-calibrated (coverage ≈ nominal), confirming it is the efficient, correct estimator under unequal N (Figure 2).</w:t>
      </w:r>
    </w:p>
    <w:p>
      <w:pPr>
        <w:pStyle w:val="Heading1"/>
      </w:pPr>
      <w:r>
        <w:t>Supplementary Note S2. Literature-referenced reference datasets (≥3 per assay)</w:t>
      </w:r>
    </w:p>
    <w:p>
      <w:pPr>
        <w:spacing w:line="480" w:lineRule="auto" w:after="120"/>
        <w:jc w:val="both"/>
      </w:pPr>
      <w:r>
        <w:t>To exercise every module on data tied to the literature, the repository ships</w:t>
      </w:r>
    </w:p>
    <w:p>
      <w:pPr>
        <w:spacing w:line="480" w:lineRule="auto" w:after="120"/>
        <w:jc w:val="both"/>
      </w:pPr>
      <w:r>
        <w:rPr>
          <w:rFonts w:ascii="Consolas" w:hAnsi="Consolas"/>
          <w:sz w:val="19"/>
        </w:rPr>
        <w:t>reference_datasets/</w:t>
      </w:r>
      <w:r>
        <w:t xml:space="preserve"> with three datasets per assay, in each module's upload-template</w:t>
      </w:r>
    </w:p>
    <w:p>
      <w:pPr>
        <w:spacing w:line="480" w:lineRule="auto" w:after="120"/>
        <w:jc w:val="both"/>
      </w:pPr>
      <w:r>
        <w:t xml:space="preserve">format, generated and analysed by </w:t>
      </w:r>
      <w:r>
        <w:rPr>
          <w:rFonts w:ascii="Consolas" w:hAnsi="Consolas"/>
          <w:sz w:val="19"/>
        </w:rPr>
        <w:t>reference_datasets/build_and_run.py</w:t>
      </w:r>
      <w:r>
        <w:t xml:space="preserve"> (provenance in</w:t>
      </w:r>
    </w:p>
    <w:p>
      <w:pPr>
        <w:spacing w:line="480" w:lineRule="auto" w:after="120"/>
        <w:jc w:val="both"/>
      </w:pPr>
      <w:r>
        <w:rPr>
          <w:rFonts w:ascii="Consolas" w:hAnsi="Consolas"/>
          <w:sz w:val="19"/>
        </w:rPr>
        <w:t>reference_datasets/PROVENANCE.md</w:t>
      </w:r>
      <w:r>
        <w:t xml:space="preserve">, results in </w:t>
      </w:r>
      <w:r>
        <w:rPr>
          <w:rFonts w:ascii="Consolas" w:hAnsi="Consolas"/>
          <w:sz w:val="19"/>
        </w:rPr>
        <w:t>reference_datasets/RESULTS.md</w:t>
      </w:r>
      <w:r>
        <w:t>). Survival</w:t>
      </w:r>
    </w:p>
    <w:p>
      <w:pPr>
        <w:spacing w:line="480" w:lineRule="auto" w:after="120"/>
        <w:jc w:val="both"/>
      </w:pPr>
      <w:r>
        <w:t xml:space="preserve">sample 1 is the </w:t>
      </w:r>
      <w:r>
        <w:rPr>
          <w:b/>
        </w:rPr>
        <w:t>real</w:t>
      </w:r>
      <w:r>
        <w:t xml:space="preserve"> Freireich et al. (1963) raw 6-MP data; circadian sample 1 uses the</w:t>
      </w:r>
    </w:p>
    <w:p>
      <w:pPr>
        <w:spacing w:line="480" w:lineRule="auto" w:after="120"/>
        <w:jc w:val="both"/>
      </w:pPr>
      <w:r>
        <w:rPr>
          <w:b/>
        </w:rPr>
        <w:t>real</w:t>
      </w:r>
      <w:r>
        <w:t xml:space="preserve"> Konopka &amp; Benzer (1971) free-running periods (24/19/28 h). The remaining datasets</w:t>
      </w:r>
    </w:p>
    <w:p>
      <w:pPr>
        <w:spacing w:line="480" w:lineRule="auto" w:after="120"/>
        <w:jc w:val="both"/>
      </w:pPr>
      <w:r>
        <w:t>are simulated from text-verified published parameters (alternation chance 50%, Lewis 2017;</w:t>
      </w:r>
    </w:p>
    <w:p>
      <w:pPr>
        <w:spacing w:line="480" w:lineRule="auto" w:after="120"/>
        <w:jc w:val="both"/>
      </w:pPr>
      <w:r>
        <w:t>turn-bias mean 0.50 and 23.5% extreme, Buchanan/de Bivort 2015; wild-type lifespan median</w:t>
      </w:r>
    </w:p>
    <w:p>
      <w:pPr>
        <w:spacing w:line="480" w:lineRule="auto" w:after="120"/>
        <w:jc w:val="both"/>
      </w:pPr>
      <w:r>
        <w:t>≈50 d, Linford 2013; larval speed ≈1 mm s⁻¹; grooming ≈13% of time, Qiao 2018), each cited</w:t>
      </w:r>
    </w:p>
    <w:p>
      <w:pPr>
        <w:spacing w:line="480" w:lineRule="auto" w:after="120"/>
        <w:jc w:val="both"/>
      </w:pPr>
      <w:r>
        <w:t>in PROVENANCE.md and clearly labelled as simulated (machine-readable raw supplements were</w:t>
      </w:r>
    </w:p>
    <w:p>
      <w:pPr>
        <w:spacing w:line="480" w:lineRule="auto" w:after="120"/>
        <w:jc w:val="both"/>
      </w:pPr>
      <w:r>
        <w:t>not retrievable for those assays). **All 18 datasets reproduce the cited published</w:t>
      </w:r>
    </w:p>
    <w:p>
      <w:pPr>
        <w:spacing w:line="480" w:lineRule="auto" w:after="120"/>
        <w:jc w:val="both"/>
      </w:pPr>
      <w:r>
        <w:t>expectation** when run through DroPhenix.</w:t>
      </w:r>
    </w:p>
    <w:p>
      <w:pPr>
        <w:pStyle w:val="Heading1"/>
      </w:pPr>
      <w:r>
        <w:t>Supplementary Figures</w:t>
      </w:r>
    </w:p>
    <w:p>
      <w:pPr>
        <w:spacing w:line="480" w:lineRule="auto" w:after="120"/>
        <w:jc w:val="both"/>
      </w:pPr>
      <w:r>
        <w:t>Analysis results produced live by the DroPhenix modules on the literature-referenced reference datasets (Supplementary Note S2). Colour-blind-safe (Okabe-Ito) palette; single Arial font.</w:t>
      </w:r>
    </w:p>
    <w:p>
      <w:pPr>
        <w:spacing w:after="120"/>
      </w:pPr>
      <w:r>
        <w:rPr>
          <w:b/>
        </w:rPr>
        <w:t>Figure S1. Climbing (negative geotaxis).</w:t>
      </w:r>
      <w:r>
        <w:t xml:space="preserve"> Endpoint Performance Index (PI = 2·%climbed − 100) by group for three disease-model datasets (PD α-synuclein, ALS TDP-43, HD polyQ). In every dataset wild-type PI exceeds the disease-model vehicle and the drug partially rescues.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7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climb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S2. Lifespan.</w:t>
      </w:r>
      <w:r>
        <w:t xml:space="preserve"> Kaplan–Meier survival curves; sample 1 is the real Freireich et al. (1963) 6-MP trial (median 23 vs 8 weeks), samples 2–3 are Gompertz fly cohorts (wild-type median ≈50 d; disease shorter; drug extends).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8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_survi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S3. Y-maze.</w:t>
      </w:r>
      <w:r>
        <w:t xml:space="preserve"> Mean spontaneous alternation (± SEM) per genotype against the 50% chance line (Lewis 2017); wild-type alternates above chance and above the memory-mutant cohorts.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7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3_yma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S4. DAMS circadian period.</w:t>
      </w:r>
      <w:r>
        <w:t xml:space="preserve"> Chi-square (Sokolove–Bushell) periodograms for wild-type, per-short and per-long, recovering the Konopka &amp; Benzer (1971) periods of 24, 19 and 28 h respectively; dashed line = Bonferroni-corrected significance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38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4_da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S5. Larval crawling.</w:t>
      </w:r>
      <w:r>
        <w:t xml:space="preserve"> Mean crawling speed (± SEM) by genotype for three disease contrasts; wild-type ≈1 mm s⁻¹, disease models slower, drug partially restored.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7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5_lar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S6. Grooming.</w:t>
      </w:r>
      <w:r>
        <w:t xml:space="preserve"> Percentage of time grooming (± SEM) by genotype; wild-type ≈13% (Qiao 2018), reduced in the disease models and partially restored by drug.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47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6_groom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Methods: formula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Quantity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Formula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Performance Index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PI = 2·(climbed/total)·100 − 100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Kaplan–Meier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Ŝ(t) = Π_{tᵢ≤t}(1 − dᵢ/nᵢ); Greenwood Var = Ŝ(t)²·Σ dᵢ/[nᵢ(nᵢ−dᵢ)]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(Mantel–Cox)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χ² = (Σ(O₁ⱼ − E₁ⱼ))² / Σ V₁ⱼ; df = G−1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Cox PH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h(t\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χ² periodogram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Q_P = N′·K·Σ_h(X̄_h−X̄)² / Σ(Xᵢ−X̄)² ~ χ²_{p−1}; Bonferroni across periods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Sleep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bout = ≥5 consecutive min of zero activity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Spontaneous alternation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%alt = 100·(alternation triads)/(entries−2); chance = 50%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Turn bias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b = R/(R+L); individuality: observed MAD vs binomial-null MAD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Motor Decline Rate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PI(age) = PI₀·e^(−k·age); Δk = k_vehicle − k_drug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Hedges' g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g = J·(x̄_t−x̄_c)/s_p, J = 1 − 3/[4(n₁+n₂)−9]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Var(g)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J²·[(n₁+n₂)/(n₁n₂) + g²/(2(n₁+n₂−2))]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Inverse-variance pooling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g_pooled = Σwᵢgᵢ/Σwᵢ, wᵢ = 1/Var(gᵢ), Var = 1/Σwᵢ</w:t>
            </w:r>
          </w:p>
        </w:tc>
      </w:tr>
      <w:tr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DerSimonian–Laird</w:t>
            </w:r>
          </w:p>
        </w:tc>
        <w:tc>
          <w:tcPr>
            <w:tcW w:type="dxa" w:w="4680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τ² = max(0,(Q−(k−1))/C); wᵢ* = 1/(Var(gᵢ)+τ²); I² = max(0,(Q−(k−1))/Q)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lnNumType w:countBy="1" w:restart="continuous" w:distance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