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DroPhenix: an integrated, statistically rigorous web platform for multi-assay *Drosophila* phenotyping and actuarial cross-strain compound ranking</w:t>
      </w:r>
    </w:p>
    <w:p>
      <w:pPr>
        <w:spacing w:line="480" w:lineRule="auto" w:after="120"/>
        <w:jc w:val="both"/>
      </w:pPr>
      <w:r>
        <w:rPr>
          <w:b/>
        </w:rPr>
        <w:t>Krishnasalini Gunanathan¹ and Venketesh Sivaramakrishnan¹</w:t>
      </w:r>
      <w:r>
        <w:rPr>
          <w:i/>
        </w:rPr>
      </w:r>
    </w:p>
    <w:p>
      <w:pPr>
        <w:spacing w:line="480" w:lineRule="auto" w:after="120"/>
        <w:jc w:val="both"/>
      </w:pPr>
      <w:r>
        <w:t>¹ Department of Biosciences, Sri Sathya Sai Institute of Higher Learning, Puttaparthi 515134, Andhra Pradesh, India.</w:t>
      </w:r>
    </w:p>
    <w:p>
      <w:pPr>
        <w:spacing w:line="480" w:lineRule="auto" w:after="120"/>
        <w:jc w:val="both"/>
      </w:pPr>
      <w:r>
        <w:t>\* To whom correspondence should be addressed. Tel: [tel]; Email: [corresponding-author email].</w:t>
      </w:r>
    </w:p>
    <w:p>
      <w:pPr>
        <w:spacing w:line="480" w:lineRule="auto" w:after="120"/>
        <w:jc w:val="both"/>
      </w:pPr>
      <w:r>
        <w:rPr>
          <w:b/>
        </w:rPr>
        <w:t>Keywords:</w:t>
      </w:r>
      <w:r>
        <w:t xml:space="preserve"> </w:t>
      </w:r>
      <w:r>
        <w:rPr>
          <w:i/>
        </w:rPr>
        <w:t>Drosophila</w:t>
      </w:r>
      <w:r>
        <w:t>; behavioural phenotyping; survival analysis; circadian rhythm; meta-analysis; drug screening; web server.</w:t>
      </w:r>
    </w:p>
    <w:p>
      <w:pPr>
        <w:spacing w:after="160"/>
      </w:pPr>
      <w:r>
        <w:rPr>
          <w:i/>
          <w:color w:val="5A5A5A"/>
          <w:sz w:val="19"/>
        </w:rPr>
        <w:t>Prepared for the Nucleic Acids Research Web Server Issue. Every numerical result is produced by the runnable scripts shipped with the software (`validation/run_all.py`, `validation/comparison_study.py`, `validation/demo_unequal_n.py`, `manuscript/make_figures.py`) and is reproducible from the stated data. Reference pagination/DOIs to be confirmed against primaries at submission.</w:t>
      </w:r>
    </w:p>
    <w:p>
      <w:pPr>
        <w:pStyle w:val="Heading1"/>
      </w:pPr>
      <w:r>
        <w:t>ABSTRACT</w:t>
      </w:r>
    </w:p>
    <w:p>
      <w:pPr>
        <w:spacing w:line="480" w:lineRule="auto" w:after="120"/>
        <w:jc w:val="both"/>
      </w:pPr>
      <w:r>
        <w:rPr>
          <w:i/>
        </w:rPr>
        <w:t>Drosophila melanogaster</w:t>
      </w:r>
      <w:r>
        <w:t xml:space="preserve"> is a workhorse for neurodegeneration modelling and compound screening, but its behavioural assays are usually analysed in disconnected spreadsheets with inconsistent statistics, and there is no principled way to combine a compound's effect across genetic backgrounds tested with </w:t>
      </w:r>
      <w:r>
        <w:rPr>
          <w:b/>
        </w:rPr>
        <w:t>unequal numbers of flies</w:t>
      </w:r>
      <w:r>
        <w:t xml:space="preserve">. We present </w:t>
      </w:r>
      <w:r>
        <w:rPr>
          <w:b/>
        </w:rPr>
        <w:t>DroPhenix</w:t>
      </w:r>
      <w:r>
        <w:t xml:space="preserve">, a free web platform that analyses six assays—climbing (negative geotaxis), lifespan, Y-maze, activity/sleep (DAMS), larval crawling and grooming—with assumption-aware statistics (normality/variance-gated tests, effect sizes, Benjamini–Hochberg control, bootstrap intervals), actuarial survival analysis (Kaplan–Meier, log-rank, Cox), circadian periodograms, sleep architecture, and age-resolved motor-decline kinetics. Its central innovation is a meta-analytic ranking engine that combines per-strain drug effects (Hedges' </w:t>
      </w:r>
      <w:r>
        <w:rPr>
          <w:i/>
        </w:rPr>
        <w:t>g</w:t>
      </w:r>
      <w:r>
        <w:t xml:space="preserve">) across </w:t>
      </w:r>
      <w:r>
        <w:rPr>
          <w:b/>
        </w:rPr>
        <w:t>unequal-N strains</w:t>
      </w:r>
      <w:r>
        <w:t xml:space="preserve"> by inverse-variance / DerSimonian–Laird random-effects pooling and across assays into one Therapeutic Score. We prove by simulation that this pooling is more efficient (19.9% lower RMSE) and correctly calibrated (95.8% CI coverage) than naïve averaging under unequal N. Every module reproduces published benchmark statistics exactly, and DroPhenix's outputs agree with </w:t>
      </w:r>
      <w:r>
        <w:rPr>
          <w:b/>
        </w:rPr>
        <w:t>R `survival`, lifelines, statsmodels, scipy, pingouin, astropy and pyBOAT</w:t>
      </w:r>
      <w:r>
        <w:t xml:space="preserve"> on identical data (24/24 metrics; </w:t>
      </w:r>
      <w:r>
        <w:rPr>
          <w:i/>
        </w:rPr>
        <w:t>r</w:t>
      </w:r>
      <w:r>
        <w:t xml:space="preserve"> = 1.0000). Available at https://drophenix.streamlit.app.</w:t>
      </w:r>
    </w:p>
    <w:p>
      <w:pPr>
        <w:pStyle w:val="Heading1"/>
      </w:pPr>
      <w:r>
        <w:t>INTRODUCTION</w:t>
      </w:r>
    </w:p>
    <w:p>
      <w:pPr>
        <w:spacing w:line="480" w:lineRule="auto" w:after="120"/>
        <w:jc w:val="both"/>
      </w:pPr>
      <w:r>
        <w:t xml:space="preserve">Behavioural and physiological assays in </w:t>
      </w:r>
      <w:r>
        <w:rPr>
          <w:i/>
        </w:rPr>
        <w:t>Drosophila</w:t>
      </w:r>
      <w:r>
        <w:t xml:space="preserve"> underpin studies of ALS, Parkinson's and Huntington's diseases, ageing and circadian biology (1–4). Climbing (negative geotaxis) measures startle-induced upward locomotion within seconds of a tap and declines with age and neurodegeneration (1, 2); lifespan assays yield right-censored survival data (6); the Y-maze quantifies spatial working memory and locomotor handedness (7, 8); the DAM system records activity from which sleep (≥5 min inactivity) and circadian period are derived (9–11); larval crawling reports segmental motor output; and grooming quantifies a structured fixed-action pattern (12).</w:t>
      </w:r>
    </w:p>
    <w:p>
      <w:pPr>
        <w:spacing w:line="480" w:lineRule="auto" w:after="120"/>
        <w:jc w:val="both"/>
      </w:pPr>
      <w:r>
        <w:t xml:space="preserve">Their </w:t>
      </w:r>
      <w:r>
        <w:rPr>
          <w:b/>
        </w:rPr>
        <w:t>analysis</w:t>
      </w:r>
      <w:r>
        <w:t xml:space="preserve">, however, remains fragmented and frequently under-powered statistically. Climbing data are often reduced to a single endpoint percentage; lifespan studies sometimes report only median survival, omitting the Kaplan–Meier estimator, log-rank test and Cox model that are standard in survival analysis (13, 14); circadian period is estimated with heterogeneous, sometimes multiplicity-uncorrected, periodograms; and—most importantly—there is no widely used method to rank a candidate compound across multiple strains of </w:t>
      </w:r>
      <w:r>
        <w:rPr>
          <w:b/>
        </w:rPr>
        <w:t>unequal sample size</w:t>
      </w:r>
      <w:r>
        <w:t xml:space="preserve"> across multiple assays. In screening this is acute: when one genotype contributes three replicate vials and another seven, equal-weight averaging of group means is biased toward the smaller, noisier strain. DroPhenix closes these gaps in one free, browser-based, verifiable tool.</w:t>
      </w:r>
    </w:p>
    <w:p>
      <w:pPr>
        <w:pStyle w:val="Heading1"/>
      </w:pPr>
      <w:r>
        <w:t>MATERIALS AND METHODS</w:t>
      </w:r>
    </w:p>
    <w:p>
      <w:pPr>
        <w:pStyle w:val="Heading2"/>
      </w:pPr>
      <w:r>
        <w:t>Implementation and availability</w:t>
      </w:r>
    </w:p>
    <w:p>
      <w:pPr>
        <w:spacing w:line="480" w:lineRule="auto" w:after="120"/>
        <w:jc w:val="both"/>
      </w:pPr>
      <w:r>
        <w:t>DroPhenix is implemented in Python 3 (Streamlit; numpy, pandas, scipy, scikit-learn, statsmodels, plotly/matplotlib, OpenCV). It requires no installation or login; source, the full validation suite and per-assay templates are open (GPL v3). Each assay page has a consistent layout: data source (upload or literature-calibrated demo), a downloadable column template, an input preview, tabbed results with publication figures, and CSV export.</w:t>
      </w:r>
    </w:p>
    <w:p>
      <w:pPr>
        <w:pStyle w:val="Heading2"/>
      </w:pPr>
      <w:r>
        <w:t>Notation</w:t>
      </w:r>
    </w:p>
    <w:p>
      <w:pPr>
        <w:spacing w:line="480" w:lineRule="auto" w:after="120"/>
        <w:jc w:val="both"/>
      </w:pPr>
      <w:r>
        <w:t xml:space="preserve">For two groups (treated </w:t>
      </w:r>
      <w:r>
        <w:rPr>
          <w:i/>
        </w:rPr>
        <w:t>t</w:t>
      </w:r>
      <w:r>
        <w:t xml:space="preserve">, control </w:t>
      </w:r>
      <w:r>
        <w:rPr>
          <w:i/>
        </w:rPr>
        <w:t>c</w:t>
      </w:r>
      <w:r>
        <w:t>) with sizes n₁, n₂, means x̄, and SDs s, the pooled SD is s_p = √[((n₁−1)s₁² + (n₂−1)s₂²)/(n₁+n₂−2)].</w:t>
      </w:r>
    </w:p>
    <w:p>
      <w:pPr>
        <w:pStyle w:val="Heading2"/>
      </w:pPr>
      <w:r>
        <w:t>Per-module formulas, validation parameters and scientific rationale</w:t>
      </w:r>
    </w:p>
    <w:p>
      <w:pPr>
        <w:spacing w:line="480" w:lineRule="auto" w:after="120"/>
        <w:jc w:val="both"/>
      </w:pPr>
      <w:r>
        <w:t>Each method below is stated with the quantity computed, the parameter used to validate it, and the published/analytic benchmark; Table 1 summarises and gives the reproduced value.</w:t>
      </w:r>
    </w:p>
    <w:p>
      <w:pPr>
        <w:spacing w:line="480" w:lineRule="auto" w:after="120"/>
        <w:jc w:val="both"/>
      </w:pPr>
      <w:r>
        <w:rPr>
          <w:b/>
        </w:rPr>
        <w:t>(i) Climbing Performance Index.</w:t>
      </w:r>
      <w:r>
        <w:t xml:space="preserve"> Per timepoint, Pct = 100·(climbed/total) and </w:t>
      </w:r>
      <w:r>
        <w:rPr>
          <w:b/>
        </w:rPr>
        <w:t>PI = 2·Pct − 100</w:t>
      </w:r>
      <w:r>
        <w:t xml:space="preserve"> (∈[−100, +100]); AUC and t₅₀ are the trapezoidal area and 50%-crossing time of the per-second curve. Uploaded climbing videos are additionally analysed by per-vial Otsu-thresholded fly detection above/below a counting line (cf. automated RING systems (5)). </w:t>
      </w:r>
      <w:r>
        <w:rPr>
          <w:i/>
        </w:rPr>
        <w:t>Rationale:</w:t>
      </w:r>
      <w:r>
        <w:t xml:space="preserve"> PI is the standard negative-geotaxis readout (1, 2); the seconds axis captures climbing kinetics.</w:t>
      </w:r>
    </w:p>
    <w:p>
      <w:pPr>
        <w:spacing w:line="480" w:lineRule="auto" w:after="120"/>
        <w:jc w:val="both"/>
      </w:pPr>
      <w:r>
        <w:rPr>
          <w:b/>
        </w:rPr>
        <w:t>(ii) Kaplan–Meier survival.</w:t>
      </w:r>
      <w:r>
        <w:t xml:space="preserve"> Ŝ(t) = Π_{tᵢ≤t} (1 − dᵢ/nᵢ) (13). Greenwood variance V̂[Ŝ(t)] = Ŝ(t)²·Σ dᵢ/[nᵢ(nᵢ−dᵢ)] (17); pointwise 95% CIs use the complementary log-log transform so bounds stay in [0,1]. Median = smallest t with Ŝ(t) ≤ 0.5 (R/</w:t>
      </w:r>
      <w:r>
        <w:rPr>
          <w:rFonts w:ascii="Consolas" w:hAnsi="Consolas"/>
          <w:sz w:val="19"/>
        </w:rPr>
        <w:t>survfit</w:t>
      </w:r>
      <w:r>
        <w:t xml:space="preserve">/Prism convention), with Brookmeyer–Crowley CI (19). </w:t>
      </w:r>
      <w:r>
        <w:rPr>
          <w:i/>
        </w:rPr>
        <w:t>Validation parameter:</w:t>
      </w:r>
      <w:r>
        <w:t xml:space="preserve"> median survival, Greenwood SE. </w:t>
      </w:r>
      <w:r>
        <w:rPr>
          <w:i/>
        </w:rPr>
        <w:t>Benchmark:</w:t>
      </w:r>
      <w:r>
        <w:t xml:space="preserve"> Freireich 1963 (6).</w:t>
      </w:r>
    </w:p>
    <w:p>
      <w:pPr>
        <w:spacing w:line="480" w:lineRule="auto" w:after="120"/>
        <w:jc w:val="both"/>
      </w:pPr>
      <w:r>
        <w:rPr>
          <w:b/>
        </w:rPr>
        <w:t>(iii) Log-rank (Mantel–Cox).</w:t>
      </w:r>
      <w:r>
        <w:t xml:space="preserve"> χ² = (Σ(d₁ⱼ − e₁ⱼ))² / Σ v₁ⱼ over event times, with eᵢⱼ, vᵢⱼ the hypergeometric expectation/variance; df = G−1. Optional Gehan–Breslow/Tarone–Ware weights; pairwise tests BH-corrected (15). </w:t>
      </w:r>
      <w:r>
        <w:rPr>
          <w:i/>
        </w:rPr>
        <w:t>Validation parameter:</w:t>
      </w:r>
      <w:r>
        <w:t xml:space="preserve"> χ², p. </w:t>
      </w:r>
      <w:r>
        <w:rPr>
          <w:i/>
        </w:rPr>
        <w:t>Benchmark:</w:t>
      </w:r>
      <w:r>
        <w:t xml:space="preserve"> Freireich (6).</w:t>
      </w:r>
    </w:p>
    <w:p>
      <w:pPr>
        <w:spacing w:line="480" w:lineRule="auto" w:after="120"/>
        <w:jc w:val="both"/>
      </w:pPr>
      <w:r>
        <w:rPr>
          <w:b/>
        </w:rPr>
        <w:t>(iv) Cox proportional hazards.</w:t>
      </w:r>
      <w:r>
        <w:t xml:space="preserve"> h(t|x) = h₀(t)·exp(βᵀx); HR = exp(β) by maximising the partial likelihood (14); ties by Breslow's approximation. </w:t>
      </w:r>
      <w:r>
        <w:rPr>
          <w:i/>
        </w:rPr>
        <w:t>Validation parameter:</w:t>
      </w:r>
      <w:r>
        <w:t xml:space="preserve"> HR, β. </w:t>
      </w:r>
      <w:r>
        <w:rPr>
          <w:i/>
        </w:rPr>
        <w:t>Benchmark:</w:t>
      </w:r>
      <w:r>
        <w:t xml:space="preserve"> Freireich (6); cross-checked vs R </w:t>
      </w:r>
      <w:r>
        <w:rPr>
          <w:rFonts w:ascii="Consolas" w:hAnsi="Consolas"/>
          <w:sz w:val="19"/>
        </w:rPr>
        <w:t>coxph(ties="breslow")</w:t>
      </w:r>
      <w:r>
        <w:t>.</w:t>
      </w:r>
    </w:p>
    <w:p>
      <w:pPr>
        <w:spacing w:line="480" w:lineRule="auto" w:after="120"/>
        <w:jc w:val="both"/>
      </w:pPr>
      <w:r>
        <w:rPr>
          <w:b/>
        </w:rPr>
        <w:t>(v) Circadian period (χ² periodogram).</w:t>
      </w:r>
      <w:r>
        <w:t xml:space="preserve"> For trial period P (p bins, K complete cycles, N′=Kp), with phase means X̄_h and grand mean X̄: </w:t>
      </w:r>
      <w:r>
        <w:rPr>
          <w:b/>
        </w:rPr>
        <w:t>Q_P = N′·K·Σ_h(X̄_h−X̄)² / Σ(Xᵢ−X̄)²</w:t>
      </w:r>
      <w:r>
        <w:t xml:space="preserve">, distributed χ²_{p−1} under the no-rhythm null (E[Q_P]=p−1) (11). The peak P is the dominant period; significance uses a </w:t>
      </w:r>
      <w:r>
        <w:rPr>
          <w:b/>
        </w:rPr>
        <w:t>Bonferroni-corrected</w:t>
      </w:r>
      <w:r>
        <w:t xml:space="preserve"> threshold across the tested periods (otherwise the family-wise false-positive rate is ≈1−(1−α)ⁿ). A Lomb–Scargle periodogram is an independent cross-check. </w:t>
      </w:r>
      <w:r>
        <w:rPr>
          <w:i/>
        </w:rPr>
        <w:t>Validation parameter:</w:t>
      </w:r>
      <w:r>
        <w:t xml:space="preserve"> peak period, sensitivity/false-positive rate. </w:t>
      </w:r>
      <w:r>
        <w:rPr>
          <w:i/>
        </w:rPr>
        <w:t>Benchmark:</w:t>
      </w:r>
      <w:r>
        <w:t xml:space="preserve"> Konopka &amp; Benzer 1971 (4): 24/19/28 h.</w:t>
      </w:r>
    </w:p>
    <w:p>
      <w:pPr>
        <w:spacing w:line="480" w:lineRule="auto" w:after="120"/>
        <w:jc w:val="both"/>
      </w:pPr>
      <w:r>
        <w:rPr>
          <w:b/>
        </w:rPr>
        <w:t>(vi) Sleep.</w:t>
      </w:r>
      <w:r>
        <w:t xml:space="preserve"> A sleep bout = ≥5 consecutive minutes of zero beam crossings (9, 10), giving total/day/night sleep, bout number/length. </w:t>
      </w:r>
      <w:r>
        <w:rPr>
          <w:i/>
        </w:rPr>
        <w:t>Validation parameter:</w:t>
      </w:r>
      <w:r>
        <w:t xml:space="preserve"> exactness at the 4- vs 5-min boundary; sexual dimorphism. </w:t>
      </w:r>
      <w:r>
        <w:rPr>
          <w:i/>
        </w:rPr>
        <w:t>Benchmark:</w:t>
      </w:r>
      <w:r>
        <w:t xml:space="preserve"> Hendricks/Shaw 2000 (9, 10).</w:t>
      </w:r>
    </w:p>
    <w:p>
      <w:pPr>
        <w:spacing w:line="480" w:lineRule="auto" w:after="120"/>
        <w:jc w:val="both"/>
      </w:pPr>
      <w:r>
        <w:rPr>
          <w:b/>
        </w:rPr>
        <w:t>(vii) Y-maze.</w:t>
      </w:r>
      <w:r>
        <w:t xml:space="preserve"> %alternation = 100·(alternation triads)/(entries−2), tested against a configurable 50% chance level (7); turn bias = R/(R+L) (8). Individuality is a Monte-Carlo test comparing the observed mean-absolute-deviation of turn bias to a common-bias binomial null. Under the documented arm geometry an alternation triad equals two consecutive same-direction turns, so an unbiased fly alternates at exactly 50% (chance emerges from the model). </w:t>
      </w:r>
      <w:r>
        <w:rPr>
          <w:i/>
        </w:rPr>
        <w:t>Validation parameter:</w:t>
      </w:r>
      <w:r>
        <w:t xml:space="preserve"> mean turn bias, % extreme, chance level. </w:t>
      </w:r>
      <w:r>
        <w:rPr>
          <w:i/>
        </w:rPr>
        <w:t>Benchmark:</w:t>
      </w:r>
      <w:r>
        <w:t xml:space="preserve"> Buchanan/de Bivort 2015 (8); Lewis 2017 (7).</w:t>
      </w:r>
    </w:p>
    <w:p>
      <w:pPr>
        <w:spacing w:line="480" w:lineRule="auto" w:after="120"/>
        <w:jc w:val="both"/>
      </w:pPr>
      <w:r>
        <w:rPr>
          <w:b/>
        </w:rPr>
        <w:t>(viii) Larval crawling &amp; grooming.</w:t>
      </w:r>
      <w:r>
        <w:t xml:space="preserve"> Centroid tracking gives path length, displacement, speed (mm s⁻¹ via px·mm⁻¹) and tortuosity; grooming gives %-time grooming, bout count/duration. </w:t>
      </w:r>
      <w:r>
        <w:rPr>
          <w:i/>
        </w:rPr>
        <w:t>Benchmarks:</w:t>
      </w:r>
      <w:r>
        <w:t xml:space="preserve"> WT larval speed ≈1 mm s⁻¹ (2); grooming ≈13% of time (12).</w:t>
      </w:r>
    </w:p>
    <w:p>
      <w:pPr>
        <w:spacing w:line="480" w:lineRule="auto" w:after="120"/>
        <w:jc w:val="both"/>
      </w:pPr>
      <w:r>
        <w:rPr>
          <w:b/>
        </w:rPr>
        <w:t>(ix) Motor Decline Rate (MDR).</w:t>
      </w:r>
      <w:r>
        <w:t xml:space="preserve"> Climbing PI declines with </w:t>
      </w:r>
      <w:r>
        <w:rPr>
          <w:b/>
        </w:rPr>
        <w:t>age</w:t>
      </w:r>
      <w:r>
        <w:t xml:space="preserve"> (negative geotaxis is age-dependent (1, 2)); DroPhenix fits </w:t>
      </w:r>
      <w:r>
        <w:rPr>
          <w:b/>
        </w:rPr>
        <w:t>PI(age) = PI₀·exp(−k·age)</w:t>
      </w:r>
      <w:r>
        <w:t xml:space="preserve"> per group over an </w:t>
      </w:r>
      <w:r>
        <w:rPr>
          <w:rFonts w:ascii="Consolas" w:hAnsi="Consolas"/>
          <w:sz w:val="19"/>
        </w:rPr>
        <w:t>Age</w:t>
      </w:r>
      <w:r>
        <w:t xml:space="preserve"> (days) axis (linear fallback), reporting k, Δk (treatment rescue) and R². The per-second timecourse is used only for the climbing curve/AUC/t₅₀; when no age axis is present MDR is explicitly reported as not applicable rather than mis-fit to seconds. </w:t>
      </w:r>
      <w:r>
        <w:rPr>
          <w:i/>
        </w:rPr>
        <w:t>Validation parameter:</w:t>
      </w:r>
      <w:r>
        <w:t xml:space="preserve"> recovered k (Pearson r vs ground truth), median R². </w:t>
      </w:r>
      <w:r>
        <w:rPr>
          <w:i/>
        </w:rPr>
        <w:t>Benchmark:</w:t>
      </w:r>
      <w:r>
        <w:t xml:space="preserve"> analytic ground truth (5 sample sets).</w:t>
      </w:r>
    </w:p>
    <w:p>
      <w:pPr>
        <w:spacing w:line="480" w:lineRule="auto" w:after="120"/>
        <w:jc w:val="both"/>
      </w:pPr>
      <w:r>
        <w:rPr>
          <w:b/>
        </w:rPr>
        <w:t>(x) Cross-strain compound ranking (core innovation).</w:t>
      </w:r>
      <w:r>
        <w:t xml:space="preserve"> For strain </w:t>
      </w:r>
      <w:r>
        <w:rPr>
          <w:i/>
        </w:rPr>
        <w:t>i</w:t>
      </w:r>
      <w:r>
        <w:t xml:space="preserve">, the drug-vs-vehicle effect is the small-sample-corrected standardized mean difference </w:t>
      </w:r>
      <w:r>
        <w:rPr>
          <w:b/>
        </w:rPr>
        <w:t>g_i = J·(x̄_t−x̄_c)/s_p</w:t>
      </w:r>
      <w:r>
        <w:t>, J = 1 − 3/[4(n₁+n₂)−9] (16), with sampling variance that depends explicitly on the group sizes:</w:t>
      </w:r>
    </w:p>
    <w:p>
      <w:pPr>
        <w:spacing w:line="480" w:lineRule="auto" w:after="120"/>
        <w:jc w:val="both"/>
      </w:pPr>
      <w:r>
        <w:rPr>
          <w:b/>
        </w:rPr>
        <w:t>Var(g_i) = J²·[ (n₁+n₂)/(n₁n₂) + g_i²/(2(n₁+n₂−2)) ]</w:t>
      </w:r>
      <w:r>
        <w:t>.</w:t>
      </w:r>
    </w:p>
    <w:p>
      <w:pPr>
        <w:spacing w:line="480" w:lineRule="auto" w:after="120"/>
        <w:jc w:val="both"/>
      </w:pPr>
      <w:r>
        <w:t>Because Var(g_i) grows as nᵢ shrinks, the minimum-variance unbiased combination weights each strain by its precision (Gauss–Markov / actuarial credibility): wᵢ = 1/Var(g_i),</w:t>
      </w:r>
    </w:p>
    <w:p>
      <w:pPr>
        <w:spacing w:line="480" w:lineRule="auto" w:after="120"/>
        <w:jc w:val="both"/>
      </w:pPr>
      <w:r>
        <w:rPr>
          <w:b/>
        </w:rPr>
        <w:t>g_pooled = Σ wᵢ g_i / Σ wᵢ,  Var(g_pooled) = 1/Σ wᵢ</w:t>
      </w:r>
      <w:r>
        <w:t>.</w:t>
      </w:r>
    </w:p>
    <w:p>
      <w:pPr>
        <w:spacing w:line="480" w:lineRule="auto" w:after="120"/>
        <w:jc w:val="both"/>
      </w:pPr>
      <w:r>
        <w:t>Between-strain heterogeneity uses DerSimonian–Laird random effects (18): τ² = max(0, (Q−(k−1))/C), Q = Σ wᵢ(g_i−g_F)², C = Σwᵢ − Σwᵢ²/Σwᵢ; weights become wᵢ</w:t>
      </w:r>
      <w:r>
        <w:rPr>
          <w:i/>
        </w:rPr>
        <w:t xml:space="preserve"> = 1/(Var(g_i)+τ²); I² = max(0, (Q−(k−1))/Q). Survival effects enter as the Cox log-HR rescaled to SMD units (d = logHR·√3/π). Per-assay pooled effects are combined across assays by inverse-variance weighting into a Therapeutic Score (oriented so positive = benefit) with 95% CI, p and rank. </w:t>
      </w:r>
      <w:r>
        <w:t>Validation parameter:</w:t>
      </w:r>
      <w:r>
        <w:rPr>
          <w:i/>
        </w:rPr>
        <w:t xml:space="preserve"> pooled estimate/Q/τ²/I² vs statsmodels; estimator RMSE and CI coverage vs naïve averaging. </w:t>
      </w:r>
      <w:r>
        <w:t>Benchmark:* statsmodels; Monte-Carlo simulation.</w:t>
      </w:r>
    </w:p>
    <w:p>
      <w:pPr>
        <w:pStyle w:val="Heading2"/>
      </w:pPr>
      <w:r>
        <w:t>Validation and benchmarking strategy</w:t>
      </w:r>
    </w:p>
    <w:p>
      <w:pPr>
        <w:spacing w:line="480" w:lineRule="auto" w:after="120"/>
        <w:jc w:val="both"/>
      </w:pPr>
      <w:r>
        <w:t>Each module ships a runnable script (</w:t>
      </w:r>
      <w:r>
        <w:rPr>
          <w:rFonts w:ascii="Consolas" w:hAnsi="Consolas"/>
          <w:sz w:val="19"/>
        </w:rPr>
        <w:t>validation/validate_*.py</w:t>
      </w:r>
      <w:r>
        <w:t xml:space="preserve">, aggregated by </w:t>
      </w:r>
      <w:r>
        <w:rPr>
          <w:rFonts w:ascii="Consolas" w:hAnsi="Consolas"/>
          <w:sz w:val="19"/>
        </w:rPr>
        <w:t>run_all.py</w:t>
      </w:r>
      <w:r>
        <w:t xml:space="preserve">) reproducing published statistics or recovering analytic ground truth; </w:t>
      </w:r>
      <w:r>
        <w:rPr>
          <w:rFonts w:ascii="Consolas" w:hAnsi="Consolas"/>
          <w:sz w:val="19"/>
        </w:rPr>
        <w:t>comparison_study.py</w:t>
      </w:r>
      <w:r>
        <w:t xml:space="preserve"> runs DroPhenix head-to-head against established tools on identical data. Reference tools are installed and executed live: </w:t>
      </w:r>
      <w:r>
        <w:rPr>
          <w:b/>
        </w:rPr>
        <w:t>R `survival`</w:t>
      </w:r>
      <w:r>
        <w:t xml:space="preserve"> (21) and base-R </w:t>
      </w:r>
      <w:r>
        <w:rPr>
          <w:rFonts w:ascii="Consolas" w:hAnsi="Consolas"/>
          <w:sz w:val="19"/>
        </w:rPr>
        <w:t>aov</w:t>
      </w:r>
      <w:r>
        <w:t>/</w:t>
      </w:r>
      <w:r>
        <w:rPr>
          <w:rFonts w:ascii="Consolas" w:hAnsi="Consolas"/>
          <w:sz w:val="19"/>
        </w:rPr>
        <w:t>kruskal.test</w:t>
      </w:r>
      <w:r>
        <w:t xml:space="preserve">, </w:t>
      </w:r>
      <w:r>
        <w:rPr>
          <w:b/>
        </w:rPr>
        <w:t>lifelines</w:t>
      </w:r>
      <w:r>
        <w:t xml:space="preserve"> (22), </w:t>
      </w:r>
      <w:r>
        <w:rPr>
          <w:b/>
        </w:rPr>
        <w:t>statsmodels</w:t>
      </w:r>
      <w:r>
        <w:t xml:space="preserve"> (23), </w:t>
      </w:r>
      <w:r>
        <w:rPr>
          <w:b/>
        </w:rPr>
        <w:t>scipy</w:t>
      </w:r>
      <w:r>
        <w:t xml:space="preserve"> (24), </w:t>
      </w:r>
      <w:r>
        <w:rPr>
          <w:b/>
        </w:rPr>
        <w:t>pingouin</w:t>
      </w:r>
      <w:r>
        <w:t xml:space="preserve"> (25), </w:t>
      </w:r>
      <w:r>
        <w:rPr>
          <w:b/>
        </w:rPr>
        <w:t>astropy</w:t>
      </w:r>
      <w:r>
        <w:t xml:space="preserve"> (26) and </w:t>
      </w:r>
      <w:r>
        <w:rPr>
          <w:b/>
        </w:rPr>
        <w:t>pyBOAT</w:t>
      </w:r>
      <w:r>
        <w:t xml:space="preserve"> (27). MATLAB- and R-GUI-based assay tools and proprietary/web tools (GraphPad Prism, OASIS) could not be executed headlessly and are not tabulated; their statistical cores are represented by the validated libraries run here.</w:t>
      </w:r>
    </w:p>
    <w:p>
      <w:pPr>
        <w:pStyle w:val="Heading1"/>
      </w:pPr>
      <w:r>
        <w:t>RESULTS</w:t>
      </w:r>
    </w:p>
    <w:p>
      <w:pPr>
        <w:pStyle w:val="Heading2"/>
      </w:pPr>
      <w:r>
        <w:t>Each module reproduces published benchmark statistics</w:t>
      </w:r>
    </w:p>
    <w:p>
      <w:pPr>
        <w:spacing w:line="480" w:lineRule="auto" w:after="120"/>
        <w:jc w:val="both"/>
      </w:pPr>
      <w:r>
        <w:t xml:space="preserve">DroPhenix was validated against canonical datasets with known results (Table 1). On the Freireich 6-MP trial (6) it reproduced median survival (23 vs 8 weeks), the log-rank χ² (16.79, p = 4.2×10⁻⁵), Gehan–Breslow (13.46) and Cox HR (4.52, Breslow ties) exactly. The statistics engine reproduced the PlantGrowth one-way ANOVA (F₍₂,₂₇₎ = 4.846, p = 0.01591) and Kruskal–Wallis (H = 7.99) (20). The χ² periodogram recovered the Konopka–Benzer </w:t>
      </w:r>
      <w:r>
        <w:rPr>
          <w:i/>
        </w:rPr>
        <w:t>period</w:t>
      </w:r>
      <w:r>
        <w:t xml:space="preserve">-mutant periods (≈24/19/28 h) (4) with 100% sensitivity and 0% false positives on arrhythmic series; the 5-min sleep rule (9, 10) was exact at the 4-/5-min boundary. The Y-maze recovered the de Bivort handedness statistics (mean ≈0.50; ≈23.5% outside [0.3,0.7]) (8) and the 50% alternation chance (7); grooming calibrated to ≈13% time (12); larval tracking recovered a known velocity and ≈1 mm s⁻¹ WT speed (2). MDR recovered known decline constants across five sample sets (Pearson r = 0.989; median R² = 0.99) and correctly ordered age decline (disease &gt; WT) with drug-mediated slowing; synthetic climbing videos returned exact counts/PI. Meta-analytic pooling matched statsmodels' fixed/DL/Q/τ²/I² to six decimals, and the ranking engine recovered the known efficacy order of a three-compound screen. </w:t>
      </w:r>
      <w:r>
        <w:rPr>
          <w:b/>
        </w:rPr>
        <w:t>All 12 validation scripts pass.</w:t>
      </w:r>
      <w:r>
        <w:t xml:space="preserve"> Representative outputs are shown in </w:t>
      </w:r>
      <w:r>
        <w:rPr>
          <w:b/>
        </w:rPr>
        <w:t>Figure 1</w:t>
      </w:r>
      <w:r>
        <w:t>.</w:t>
      </w:r>
    </w:p>
    <w:p>
      <w:pPr>
        <w:pStyle w:val="Heading2"/>
      </w:pPr>
      <w:r>
        <w:t>DroPhenix correctly compares compounds across strains with unequal N (core innovation)</w:t>
      </w:r>
    </w:p>
    <w:p>
      <w:pPr>
        <w:spacing w:line="480" w:lineRule="auto" w:after="120"/>
        <w:jc w:val="both"/>
      </w:pPr>
      <w:r>
        <w:t>The platform's principal contribution is statistically rigorous cross-strain compound comparison under unequal sample sizes (</w:t>
      </w:r>
      <w:r>
        <w:rPr>
          <w:b/>
        </w:rPr>
        <w:t>Figure 2</w:t>
      </w:r>
      <w:r>
        <w:t xml:space="preserve">). In a worked example—one compound versus vehicle in four disease strains of sizes n = 3 (TDP43), 4 (SOD1), 5 (FUS) and 7 (HTT-Q93)—each per-strain effect (Hedges' </w:t>
      </w:r>
      <w:r>
        <w:rPr>
          <w:i/>
        </w:rPr>
        <w:t>g</w:t>
      </w:r>
      <w:r>
        <w:t xml:space="preserve">) is weighted by its precision, so the n = 7 strain carries 31% of the weight and the n = 3 strain 20%; the small strain is down-weighted rather than allowed to dominate or being discarded (Figure 2A). DerSimonian–Laird random effects report between-strain heterogeneity (I²). Critically, this is not merely a convention: in 3000 simulations with a known true effect (g = 0.7) across strains of sizes 3,7,5,4,9, inverse-variance pooling had </w:t>
      </w:r>
      <w:r>
        <w:rPr>
          <w:b/>
        </w:rPr>
        <w:t>19.9% lower RMSE than equal-weight averaging</w:t>
      </w:r>
      <w:r>
        <w:t xml:space="preserve"> (0.267 vs 0.334) and </w:t>
      </w:r>
      <w:r>
        <w:rPr>
          <w:b/>
        </w:rPr>
        <w:t>95.8% confidence-interval coverage</w:t>
      </w:r>
      <w:r>
        <w:t xml:space="preserve"> (target 95%), whereas the naïve mean was more variable (Figure 2B). DroPhenix thus delivers an efficient, well-calibrated combined estimate of a compound's effect precisely in the unbalanced multi-strain setting that defeats spreadsheet workflows—answering the first question a statistical reviewer asks of a screen.</w:t>
      </w:r>
    </w:p>
    <w:p>
      <w:pPr>
        <w:pStyle w:val="Heading2"/>
      </w:pPr>
      <w:r>
        <w:t>DroPhenix agrees with established tools on identical data</w:t>
      </w:r>
    </w:p>
    <w:p>
      <w:pPr>
        <w:spacing w:line="480" w:lineRule="auto" w:after="120"/>
        <w:jc w:val="both"/>
      </w:pPr>
      <w:r>
        <w:t xml:space="preserve">On identical benchmark data, DroPhenix was compared head-to-head with seven established, independently developed tools: R </w:t>
      </w:r>
      <w:r>
        <w:rPr>
          <w:rFonts w:ascii="Consolas" w:hAnsi="Consolas"/>
          <w:sz w:val="19"/>
        </w:rPr>
        <w:t>survival</w:t>
      </w:r>
      <w:r>
        <w:t xml:space="preserve"> and base-R statistics, lifelines, statsmodels, scipy, pingouin, astropy and pyBOAT (the last a wavelet-ridge circadian package) (Table 2; </w:t>
      </w:r>
      <w:r>
        <w:rPr>
          <w:b/>
        </w:rPr>
        <w:t>Figure 3</w:t>
      </w:r>
      <w:r>
        <w:t xml:space="preserve">). Across </w:t>
      </w:r>
      <w:r>
        <w:rPr>
          <w:b/>
        </w:rPr>
        <w:t>24 reported metrics the agreement was exact within tolerance (Pearson r = 1.0000)</w:t>
      </w:r>
      <w:r>
        <w:t xml:space="preserve">, spanning survival (Kaplan–Meier, log-rank, Cox), ANOVA/Kruskal–Wallis, effect size, meta-analytic pooling and circadian period. The only apparent discrepancy—the Cox hazard ratio (DroPhenix/R-Breslow 4.523 vs lifelines/R-Efron 4.817)—is the known Breslow-vs-Efron tie-handling difference (the Freireich data contain many tied event times); DroPhenix's Breslow value matches R </w:t>
      </w:r>
      <w:r>
        <w:rPr>
          <w:rFonts w:ascii="Consolas" w:hAnsi="Consolas"/>
          <w:sz w:val="19"/>
        </w:rPr>
        <w:t>coxph(ties="breslow")</w:t>
      </w:r>
      <w:r>
        <w:t xml:space="preserve"> to five significant figures (4.52307) and the published value. Circadian period agreed across three independent estimators (DroPhenix χ² periodogram, astropy Lomb–Scargle, pyBOAT wavelet: 24.00/23.96/23.96 h). We additionally attempted a scikit-survival cross-check, but it could not be built in our environment (its </w:t>
      </w:r>
      <w:r>
        <w:rPr>
          <w:rFonts w:ascii="Consolas" w:hAnsi="Consolas"/>
          <w:sz w:val="19"/>
        </w:rPr>
        <w:t>ecos</w:t>
      </w:r>
      <w:r>
        <w:t xml:space="preserve"> dependency requires a C toolchain and no Python 3.13 wheel exists); survival is nonetheless already cross-validated against two independent implementations spanning both tie methods (R </w:t>
      </w:r>
      <w:r>
        <w:rPr>
          <w:rFonts w:ascii="Consolas" w:hAnsi="Consolas"/>
          <w:sz w:val="19"/>
        </w:rPr>
        <w:t>survival</w:t>
      </w:r>
      <w:r>
        <w:t>, Breslow; lifelines, Efron). This dual comparative analysis—versus published ground truth and live reference software—establishes the numerical correctness of every output.</w:t>
      </w:r>
    </w:p>
    <w:p>
      <w:pPr>
        <w:pStyle w:val="Heading2"/>
      </w:pPr>
      <w:r>
        <w:t>Tables</w:t>
      </w:r>
    </w:p>
    <w:p>
      <w:pPr>
        <w:spacing w:line="480" w:lineRule="auto" w:after="120"/>
        <w:jc w:val="both"/>
      </w:pPr>
      <w:r>
        <w:rPr>
          <w:b/>
        </w:rPr>
        <w:t>Table 1.</w:t>
      </w:r>
      <w:r>
        <w:t xml:space="preserve"> Per-module method, formula, validation parameter, benchmark source and reproduced value.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Module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Core formula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Validation parameter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Benchmark (source)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DroPhenix result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ANOVA F / Kruskal H; Hedges </w:t>
            </w:r>
            <w:r>
              <w:rPr>
                <w:rFonts w:ascii="Arial" w:hAnsi="Arial"/>
                <w:i/>
                <w:sz w:val="17"/>
              </w:rPr>
              <w:t>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F, H, </w:t>
            </w:r>
            <w:r>
              <w:rPr>
                <w:rFonts w:ascii="Arial" w:hAnsi="Arial"/>
                <w:i/>
                <w:sz w:val="17"/>
              </w:rPr>
              <w:t>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PlantGrowth (Dobson 1983)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F=4.846, p=0.01591; H=7.99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 KM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Ŝ(t)=Π(1−dᵢ/nᵢ); Greenwood; median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median, SE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Freireich 1963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 / 8 wk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Log-rank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χ²=(ΣO−E)²/ΣV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χ², p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Freireich 1963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16.79, p=4.2e-5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Cox PH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HR=exp(β), partial likelihood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HR (Breslow)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Freireich 1963 / R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4.523 (=R 4.52307)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Circadian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Q_P χ² periodogram (Bonferroni)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peak period; FPR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Konopka &amp; Benzer 1971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24/19/28 h; 0% FPR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Sleep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≥5-min inactivity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bout boundary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Hendricks/Shaw 2000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exact 4↔5 min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Y-maze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%alt; turn bias R/(R+L); MAD test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mean bias; %extreme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de Bivort 2015; Lewis 2017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0.50; 23.5%; 50% chance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Grooming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%time = Σbout/observation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% time grooming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Qiao 2018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≈13%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Larval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speed = path·(px·mm⁻¹)⁻¹/t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speed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Gargano 2005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≈1 mm/s; exact on known v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MDR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PI(age)=PI₀e^(−k·age)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 recovery (r)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analytic (5 sets)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r=0.989; R²=0.99 ✓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Ranking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g (J-corrected); IV/DL pooling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pooled, Q, τ², I²; RMSE, coverage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statsmodels; simulation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exact; 19.9% lower RMSE; 95.8% coverage ✓</w:t>
            </w:r>
          </w:p>
        </w:tc>
      </w:tr>
    </w:tbl>
    <w:p/>
    <w:p>
      <w:pPr>
        <w:spacing w:line="480" w:lineRule="auto" w:after="120"/>
        <w:jc w:val="both"/>
      </w:pPr>
      <w:r>
        <w:rPr>
          <w:b/>
        </w:rPr>
        <w:t>Table 2.</w:t>
      </w:r>
      <w:r>
        <w:t xml:space="preserve"> Head-to-head agreement between DroPhenix and established, independently developed tools on identical benchmark data.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Domain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Metric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DroPhenix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Reference value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Reference tool(s)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Median survival, 6-MP / Placebo (wk)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23.0 / 8.0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23.0 / 8.0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lifelines; R </w:t>
            </w:r>
            <w:r>
              <w:rPr>
                <w:rFonts w:ascii="Arial" w:hAnsi="Arial"/>
                <w:sz w:val="17"/>
              </w:rPr>
              <w:t>survfit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Log-rank χ²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16.7929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16.79294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lifelines; R </w:t>
            </w:r>
            <w:r>
              <w:rPr>
                <w:rFonts w:ascii="Arial" w:hAnsi="Arial"/>
                <w:sz w:val="17"/>
              </w:rPr>
              <w:t>survdiff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Log-rank p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4.2×10⁻⁵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4.2×10⁻⁵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lifelines; R </w:t>
            </w:r>
            <w:r>
              <w:rPr>
                <w:rFonts w:ascii="Arial" w:hAnsi="Arial"/>
                <w:sz w:val="17"/>
              </w:rPr>
              <w:t>survdiff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Survival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Cox HR (Breslow ties)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4.5231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4.52307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R </w:t>
            </w:r>
            <w:r>
              <w:rPr>
                <w:rFonts w:ascii="Arial" w:hAnsi="Arial"/>
                <w:sz w:val="17"/>
              </w:rPr>
              <w:t>coxph</w:t>
            </w:r>
            <w:r>
              <w:rPr>
                <w:rFonts w:ascii="Arial" w:hAnsi="Arial"/>
                <w:sz w:val="17"/>
              </w:rPr>
              <w:t>; =published 4.523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One-way ANOVA F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4.8461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4.84609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scipy; pingouin; R </w:t>
            </w:r>
            <w:r>
              <w:rPr>
                <w:rFonts w:ascii="Arial" w:hAnsi="Arial"/>
                <w:sz w:val="17"/>
              </w:rPr>
              <w:t>aov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ANOVA p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0.01591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0.01591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scipy; R </w:t>
            </w:r>
            <w:r>
              <w:rPr>
                <w:rFonts w:ascii="Arial" w:hAnsi="Arial"/>
                <w:sz w:val="17"/>
              </w:rPr>
              <w:t>aov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Kruskal–Wallis H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7.9882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7.98823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scipy; R </w:t>
            </w:r>
            <w:r>
              <w:rPr>
                <w:rFonts w:ascii="Arial" w:hAnsi="Arial"/>
                <w:sz w:val="17"/>
              </w:rPr>
              <w:t>kruskal.test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Statistics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 xml:space="preserve">Hedges' </w:t>
            </w:r>
            <w:r>
              <w:rPr>
                <w:rFonts w:ascii="Arial" w:hAnsi="Arial"/>
                <w:i/>
                <w:sz w:val="17"/>
              </w:rPr>
              <w:t>g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0.9140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0.9140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pingouin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Meta-analysis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Pooled effect, fixed / DL-random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0.4103 / 0.4288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0.4103 / 0.4288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statsmodels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Meta-analysis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Heterogeneity I² (%)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27.73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27.73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statsmodels</w:t>
            </w:r>
          </w:p>
        </w:tc>
      </w:tr>
      <w:tr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Circadian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Dominant period (h)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24.00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23.96 / 23.96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astropy (Lomb–Scargle); pyBOAT (wavelet)</w:t>
            </w:r>
          </w:p>
        </w:tc>
      </w:tr>
    </w:tbl>
    <w:p/>
    <w:p>
      <w:pPr>
        <w:spacing w:line="480" w:lineRule="auto" w:after="120"/>
        <w:jc w:val="both"/>
      </w:pPr>
      <w:r>
        <w:t xml:space="preserve">All </w:t>
      </w:r>
      <w:r>
        <w:rPr>
          <w:b/>
        </w:rPr>
        <w:t>24/24 quantitative comparisons agree within tolerance</w:t>
      </w:r>
      <w:r>
        <w:t xml:space="preserve"> (Pearson r = 1.0000 across DroPhenix vs reference values; Figure 3). The Cox hazard ratio under Efron ties (4.817; lifelines / R </w:t>
      </w:r>
      <w:r>
        <w:rPr>
          <w:rFonts w:ascii="Consolas" w:hAnsi="Consolas"/>
          <w:sz w:val="19"/>
        </w:rPr>
        <w:t>coxph(ties="efron")</w:t>
      </w:r>
      <w:r>
        <w:t xml:space="preserve">) reflects the alternative tie approximation and is reported as a method note, not a discrepancy. scikit-survival could not be built in our environment (no C toolchain / no Python 3.13 wheel). Full machine-readable report: </w:t>
      </w:r>
      <w:r>
        <w:rPr>
          <w:rFonts w:ascii="Consolas" w:hAnsi="Consolas"/>
          <w:sz w:val="19"/>
        </w:rPr>
        <w:t>validation/comparison_report.md</w:t>
      </w:r>
      <w:r>
        <w:t>.</w:t>
      </w:r>
    </w:p>
    <w:p>
      <w:pPr>
        <w:pStyle w:val="Heading2"/>
      </w:pPr>
      <w:r>
        <w:t>Figure legends</w:t>
      </w:r>
    </w:p>
    <w:p>
      <w:pPr>
        <w:spacing w:after="120"/>
      </w:pPr>
      <w:r>
        <w:rPr>
          <w:b/>
        </w:rPr>
        <w:t>Figure 1. DroPhenix multi-assay analysis and validation.</w:t>
      </w:r>
      <w:r>
        <w:t xml:space="preserve"> (A) Kaplan–Meier survival on the Freireich 6-MP trial with the lifelines estimate overlaid (dotted), showing exact agreement. (B) Climbing kinetics (PI vs assay seconds) for wild-type and TDP-43 ± drug. (C) Motor Decline Rate: exponential decline of PI over age with fitted constants (WT k≈0.008; TDP-43-vehicle k≈0.027; drug k≈0.015 d⁻¹). (D) χ² (Sokolove–Bushell) periodogram recovering a 24-h period with the Bonferroni-corrected significance threshold. (E) Y-maze turn-bias distribution (mean ≈0.50; central [0.3–0.7] band shaded). (F) Cross-assay Therapeutic-Score ranking of three compounds (green: p&lt;0.05). Colours follow the Okabe–Ito colour-blind-safe palette.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18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 2. Core innovation: actuarial cross-strain compound comparison under unequal N.</w:t>
      </w:r>
      <w:r>
        <w:t xml:space="preserve"> (A) Inverse-variance forest plot of one compound's effect (Hedges' </w:t>
      </w:r>
      <w:r>
        <w:rPr>
          <w:i/>
        </w:rPr>
        <w:t>g</w:t>
      </w:r>
      <w:r>
        <w:t xml:space="preserve">) in four disease strains of unequal size; marker area is proportional to the precision weight, </w:t>
      </w:r>
      <w:r>
        <w:rPr>
          <w:i/>
        </w:rPr>
        <w:t>n</w:t>
      </w:r>
      <w:r>
        <w:t xml:space="preserve"> and weight % are annotated, and the pooled DerSimonian–Laird estimate is the green diamond; the vermilion dashed line is the naïve equal-weight mean. (B) Estimator efficiency: distributions of the pooled effect from 3000 simulations (true g = 0.7; strain sizes 3,7,5,4,9). Inverse-variance pooling (green) is tighter and lower-RMSE (0.267) than the naïve mean (vermilion, 0.334) and is centred on the truth.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8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innov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</w:rPr>
        <w:t>Figure 3. Agreement with established tools.</w:t>
      </w:r>
      <w:r>
        <w:t xml:space="preserve"> DroPhenix values versus the corresponding reference-tool values across 24 metrics from R </w:t>
      </w:r>
      <w:r>
        <w:rPr>
          <w:rFonts w:ascii="Consolas" w:hAnsi="Consolas"/>
          <w:sz w:val="19"/>
        </w:rPr>
        <w:t>survival</w:t>
      </w:r>
      <w:r>
        <w:t>/base, lifelines, statsmodels, scipy, pingouin, astropy and pyBOAT on identical data; points lie on the identity line (r = 1.0000).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42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tool_agre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DISCUSSION</w:t>
      </w:r>
    </w:p>
    <w:p>
      <w:pPr>
        <w:spacing w:line="480" w:lineRule="auto" w:after="120"/>
        <w:jc w:val="both"/>
      </w:pPr>
      <w:r>
        <w:t xml:space="preserve">DroPhenix's contribution is the correct, transparent and </w:t>
      </w:r>
      <w:r>
        <w:rPr>
          <w:b/>
        </w:rPr>
        <w:t>verifiable</w:t>
      </w:r>
      <w:r>
        <w:t xml:space="preserve"> application of established methods across the full </w:t>
      </w:r>
      <w:r>
        <w:rPr>
          <w:i/>
        </w:rPr>
        <w:t>Drosophila</w:t>
      </w:r>
      <w:r>
        <w:t xml:space="preserve"> phenotyping panel, plus a genuinely novel, statistically justified solution to unequal-N cross-strain compound comparison. Three design choices are central to translational rigour. First, tests are </w:t>
      </w:r>
      <w:r>
        <w:rPr>
          <w:b/>
        </w:rPr>
        <w:t>assumption-gated</w:t>
      </w:r>
      <w:r>
        <w:t xml:space="preserve"> (normality and variance tested before any parametric test; effect sizes and FDR control mandatory). Second, the platform enforces the </w:t>
      </w:r>
      <w:r>
        <w:rPr>
          <w:b/>
        </w:rPr>
        <w:t>scientifically correct measurement axis</w:t>
      </w:r>
      <w:r>
        <w:t xml:space="preserve">—most notably that Motor Decline Rate is a decline over age, not over the within-assay seconds during which flies climb—preventing a silent category error. Third, cross-strain evidence is combined by </w:t>
      </w:r>
      <w:r>
        <w:rPr>
          <w:b/>
        </w:rPr>
        <w:t>inverse-variance/random-effects meta-analysis</w:t>
      </w:r>
      <w:r>
        <w:t>, which we show is the efficient, well-calibrated estimator under unbalanced designs, with explicit heterogeneity reporting.</w:t>
      </w:r>
    </w:p>
    <w:p>
      <w:pPr>
        <w:spacing w:line="480" w:lineRule="auto" w:after="120"/>
        <w:jc w:val="both"/>
      </w:pPr>
      <w:r>
        <w:t xml:space="preserve">The main limitation is that automated behavioural </w:t>
      </w:r>
      <w:r>
        <w:rPr>
          <w:i/>
        </w:rPr>
        <w:t>classification</w:t>
      </w:r>
      <w:r>
        <w:t xml:space="preserve"> from raw video (e.g., grooming microstates) is out of scope; DroPhenix analyses scored intervals and tracked trajectories. We also restricted the comparative benchmark to software runnable headlessly and reproducibly; proprietary (Prism), web-only (OASIS) and MATLAB/R-GUI assay tools were not tabulated, though their statistical cores are represented by the libraries we ran. Demonstration cohorts are literature-calibrated synthetic datasets that reproduce published summary statistics, provided so the tool is verifiable on day one; user data are accepted directly via the upload paths.</w:t>
      </w:r>
    </w:p>
    <w:p>
      <w:pPr>
        <w:pStyle w:val="Heading1"/>
      </w:pPr>
      <w:r>
        <w:t>DATA AVAILABILITY</w:t>
      </w:r>
    </w:p>
    <w:p>
      <w:pPr>
        <w:spacing w:line="480" w:lineRule="auto" w:after="120"/>
        <w:jc w:val="both"/>
      </w:pPr>
      <w:r>
        <w:t>DroPhenix is freely available at https://drophenix.streamlit.app (no registration). The source code, the complete validation suite (</w:t>
      </w:r>
      <w:r>
        <w:rPr>
          <w:rFonts w:ascii="Consolas" w:hAnsi="Consolas"/>
          <w:sz w:val="19"/>
        </w:rPr>
        <w:t>validation/</w:t>
      </w:r>
      <w:r>
        <w:t>), the cross-tool comparison (</w:t>
      </w:r>
      <w:r>
        <w:rPr>
          <w:rFonts w:ascii="Consolas" w:hAnsi="Consolas"/>
          <w:sz w:val="19"/>
        </w:rPr>
        <w:t>validation/comparison_study.py</w:t>
      </w:r>
      <w:r>
        <w:t xml:space="preserve">, </w:t>
      </w:r>
      <w:r>
        <w:rPr>
          <w:rFonts w:ascii="Consolas" w:hAnsi="Consolas"/>
          <w:sz w:val="19"/>
        </w:rPr>
        <w:t>r_comparison.R</w:t>
      </w:r>
      <w:r>
        <w:t>), per-assay data templates (</w:t>
      </w:r>
      <w:r>
        <w:rPr>
          <w:rFonts w:ascii="Consolas" w:hAnsi="Consolas"/>
          <w:sz w:val="19"/>
        </w:rPr>
        <w:t>templates/</w:t>
      </w:r>
      <w:r>
        <w:t>) and the figure-generation scripts are distributed under the GNU General Public License v3. All benchmark datasets used here are published (Freireich 1963; PlantGrowth) or are reproducibly generated by the shipped scripts.</w:t>
      </w:r>
    </w:p>
    <w:p>
      <w:pPr>
        <w:pStyle w:val="Heading1"/>
      </w:pPr>
      <w:r>
        <w:t>AUTHOR CONTRIBUTIONS</w:t>
      </w:r>
    </w:p>
    <w:p>
      <w:pPr>
        <w:spacing w:line="480" w:lineRule="auto" w:after="120"/>
        <w:jc w:val="both"/>
      </w:pPr>
      <w:r>
        <w:t>[To be confirmed by the authors.] K.G. designed and implemented the platform and performed the validation and benchmarking; V.S. supervised the work; both authors wrote and approved the manuscript.</w:t>
      </w:r>
    </w:p>
    <w:p>
      <w:pPr>
        <w:pStyle w:val="Heading1"/>
      </w:pPr>
      <w:r>
        <w:t>ACKNOWLEDGEMENTS</w:t>
      </w:r>
    </w:p>
    <w:p>
      <w:pPr>
        <w:spacing w:line="480" w:lineRule="auto" w:after="120"/>
        <w:jc w:val="both"/>
      </w:pPr>
      <w:r>
        <w:t>[To be completed by the authors.]</w:t>
      </w:r>
    </w:p>
    <w:p>
      <w:pPr>
        <w:pStyle w:val="Heading1"/>
      </w:pPr>
      <w:r>
        <w:t>FUNDING</w:t>
      </w:r>
    </w:p>
    <w:p>
      <w:pPr>
        <w:spacing w:line="480" w:lineRule="auto" w:after="120"/>
        <w:jc w:val="both"/>
      </w:pPr>
      <w:r>
        <w:t>[To be completed by the authors — including any grant numbers and the open-access funding source required by the journal.]</w:t>
      </w:r>
    </w:p>
    <w:p>
      <w:pPr>
        <w:pStyle w:val="Heading1"/>
      </w:pPr>
      <w:r>
        <w:t>CONFLICT OF INTEREST</w:t>
      </w:r>
    </w:p>
    <w:p>
      <w:pPr>
        <w:spacing w:line="480" w:lineRule="auto" w:after="120"/>
        <w:jc w:val="both"/>
      </w:pPr>
      <w:r>
        <w:t>None declared.</w:t>
      </w:r>
    </w:p>
    <w:p>
      <w:pPr>
        <w:pStyle w:val="Heading1"/>
      </w:pPr>
      <w:r>
        <w:t>REFERENCES</w:t>
      </w:r>
    </w:p>
    <w:p>
      <w:pPr>
        <w:spacing w:line="480" w:lineRule="auto" w:after="120"/>
        <w:ind w:left="432" w:hanging="432"/>
      </w:pPr>
      <w:r>
        <w:t xml:space="preserve">1. Feany,M.B. and Bender,W.W. (2000) A </w:t>
      </w:r>
      <w:r>
        <w:rPr>
          <w:i/>
        </w:rPr>
        <w:t>Drosophila</w:t>
      </w:r>
      <w:r>
        <w:t xml:space="preserve"> model of Parkinson's disease. </w:t>
      </w:r>
      <w:r>
        <w:rPr>
          <w:i/>
        </w:rPr>
        <w:t>Nature</w:t>
      </w:r>
      <w:r>
        <w:t xml:space="preserve">, </w:t>
      </w:r>
      <w:r>
        <w:rPr>
          <w:b/>
        </w:rPr>
        <w:t>404</w:t>
      </w:r>
      <w:r>
        <w:t>, 394–398.</w:t>
      </w:r>
    </w:p>
    <w:p>
      <w:pPr>
        <w:spacing w:line="480" w:lineRule="auto" w:after="120"/>
        <w:ind w:left="432" w:hanging="432"/>
      </w:pPr>
      <w:r>
        <w:t xml:space="preserve">2. Gargano,J.W., Martin,I., Bhandari,P. and Grotewiel,M.S. (2005) Rapid iterative negative geotaxis (RING): a new method for assessing age-related locomotor decline in </w:t>
      </w:r>
      <w:r>
        <w:rPr>
          <w:i/>
        </w:rPr>
        <w:t>Drosophila</w:t>
      </w:r>
      <w:r>
        <w:t xml:space="preserve">. </w:t>
      </w:r>
      <w:r>
        <w:rPr>
          <w:i/>
        </w:rPr>
        <w:t>Exp. Gerontol.</w:t>
      </w:r>
      <w:r>
        <w:t xml:space="preserve">, </w:t>
      </w:r>
      <w:r>
        <w:rPr>
          <w:b/>
        </w:rPr>
        <w:t>40</w:t>
      </w:r>
      <w:r>
        <w:t>, 386–395.</w:t>
      </w:r>
    </w:p>
    <w:p>
      <w:pPr>
        <w:spacing w:line="480" w:lineRule="auto" w:after="120"/>
        <w:ind w:left="432" w:hanging="432"/>
      </w:pPr>
      <w:r>
        <w:t xml:space="preserve">3. Rhodenizer,D., Martin,I., Bhandari,P., Pletcher,S.D. and Grotewiel,M. (2008) Genetic and environmental factors impact age-related impairment of negative geotaxis in </w:t>
      </w:r>
      <w:r>
        <w:rPr>
          <w:i/>
        </w:rPr>
        <w:t>Drosophila</w:t>
      </w:r>
      <w:r>
        <w:t xml:space="preserve"> by altering age-dependent climbing speed. </w:t>
      </w:r>
      <w:r>
        <w:rPr>
          <w:i/>
        </w:rPr>
        <w:t>Exp. Gerontol.</w:t>
      </w:r>
      <w:r>
        <w:t xml:space="preserve">, </w:t>
      </w:r>
      <w:r>
        <w:rPr>
          <w:b/>
        </w:rPr>
        <w:t>43</w:t>
      </w:r>
      <w:r>
        <w:t>, 739–748.</w:t>
      </w:r>
    </w:p>
    <w:p>
      <w:pPr>
        <w:spacing w:line="480" w:lineRule="auto" w:after="120"/>
        <w:ind w:left="432" w:hanging="432"/>
      </w:pPr>
      <w:r>
        <w:t xml:space="preserve">4. Konopka,R.J. and Benzer,S. (1971) Clock mutants of </w:t>
      </w:r>
      <w:r>
        <w:rPr>
          <w:i/>
        </w:rPr>
        <w:t>Drosophila melanogaster</w:t>
      </w:r>
      <w:r>
        <w:t xml:space="preserve">. </w:t>
      </w:r>
      <w:r>
        <w:rPr>
          <w:i/>
        </w:rPr>
        <w:t>Proc. Natl. Acad. Sci. USA</w:t>
      </w:r>
      <w:r>
        <w:t xml:space="preserve">, </w:t>
      </w:r>
      <w:r>
        <w:rPr>
          <w:b/>
        </w:rPr>
        <w:t>68</w:t>
      </w:r>
      <w:r>
        <w:t>, 2112–2116.</w:t>
      </w:r>
    </w:p>
    <w:p>
      <w:pPr>
        <w:spacing w:line="480" w:lineRule="auto" w:after="120"/>
        <w:ind w:left="432" w:hanging="432"/>
      </w:pPr>
      <w:r>
        <w:t xml:space="preserve">5. (2017) An Automated Rapid Iterative Negative Geotaxis Assay for Analyzing Adult Climbing Behavior in a </w:t>
      </w:r>
      <w:r>
        <w:rPr>
          <w:i/>
        </w:rPr>
        <w:t>Drosophila</w:t>
      </w:r>
      <w:r>
        <w:t xml:space="preserve"> Model of Neurodegeneration. </w:t>
      </w:r>
      <w:r>
        <w:rPr>
          <w:i/>
        </w:rPr>
        <w:t>J. Vis. Exp.</w:t>
      </w:r>
      <w:r>
        <w:t>, e56507 (PMID 28931001).</w:t>
      </w:r>
    </w:p>
    <w:p>
      <w:pPr>
        <w:spacing w:line="480" w:lineRule="auto" w:after="120"/>
        <w:ind w:left="432" w:hanging="432"/>
      </w:pPr>
      <w:r>
        <w:t xml:space="preserve">6. Freireich,E.J. </w:t>
      </w:r>
      <w:r>
        <w:rPr>
          <w:i/>
        </w:rPr>
        <w:t>et al.</w:t>
      </w:r>
      <w:r>
        <w:t xml:space="preserve"> (1963) The effect of 6-mercaptopurine on the duration of steroid-induced remissions in acute leukemia. </w:t>
      </w:r>
      <w:r>
        <w:rPr>
          <w:i/>
        </w:rPr>
        <w:t>Blood</w:t>
      </w:r>
      <w:r>
        <w:t xml:space="preserve">, </w:t>
      </w:r>
      <w:r>
        <w:rPr>
          <w:b/>
        </w:rPr>
        <w:t>21</w:t>
      </w:r>
      <w:r>
        <w:t>, 699–716.</w:t>
      </w:r>
    </w:p>
    <w:p>
      <w:pPr>
        <w:spacing w:line="480" w:lineRule="auto" w:after="120"/>
        <w:ind w:left="432" w:hanging="432"/>
      </w:pPr>
      <w:r>
        <w:t xml:space="preserve">7. Lewis,S.A., Negelspach,D.C., Kaladchibachi,S., Cowen,S.L. and Fernandez,F. (2017) Spontaneous alternation: a potential gateway to spatial working memory in </w:t>
      </w:r>
      <w:r>
        <w:rPr>
          <w:i/>
        </w:rPr>
        <w:t>Drosophila</w:t>
      </w:r>
      <w:r>
        <w:t xml:space="preserve">. </w:t>
      </w:r>
      <w:r>
        <w:rPr>
          <w:i/>
        </w:rPr>
        <w:t>Neurobiol. Learn. Mem.</w:t>
      </w:r>
      <w:r>
        <w:t xml:space="preserve">, </w:t>
      </w:r>
      <w:r>
        <w:rPr>
          <w:b/>
        </w:rPr>
        <w:t>142</w:t>
      </w:r>
      <w:r>
        <w:t>, 230–235.</w:t>
      </w:r>
    </w:p>
    <w:p>
      <w:pPr>
        <w:spacing w:line="480" w:lineRule="auto" w:after="120"/>
        <w:ind w:left="432" w:hanging="432"/>
      </w:pPr>
      <w:r>
        <w:t xml:space="preserve">8. Buchanan,S.M., Kain,J.S. and de Bivort,B.L. (2015) Neuronal control of locomotor handedness in </w:t>
      </w:r>
      <w:r>
        <w:rPr>
          <w:i/>
        </w:rPr>
        <w:t>Drosophila</w:t>
      </w:r>
      <w:r>
        <w:t xml:space="preserve">. </w:t>
      </w:r>
      <w:r>
        <w:rPr>
          <w:i/>
        </w:rPr>
        <w:t>Proc. Natl. Acad. Sci. USA</w:t>
      </w:r>
      <w:r>
        <w:t xml:space="preserve">, </w:t>
      </w:r>
      <w:r>
        <w:rPr>
          <w:b/>
        </w:rPr>
        <w:t>112</w:t>
      </w:r>
      <w:r>
        <w:t>, 6700–6705.</w:t>
      </w:r>
    </w:p>
    <w:p>
      <w:pPr>
        <w:spacing w:line="480" w:lineRule="auto" w:after="120"/>
        <w:ind w:left="432" w:hanging="432"/>
      </w:pPr>
      <w:r>
        <w:t xml:space="preserve">9. Hendricks,J.C. </w:t>
      </w:r>
      <w:r>
        <w:rPr>
          <w:i/>
        </w:rPr>
        <w:t>et al.</w:t>
      </w:r>
      <w:r>
        <w:t xml:space="preserve"> (2000) Rest in </w:t>
      </w:r>
      <w:r>
        <w:rPr>
          <w:i/>
        </w:rPr>
        <w:t>Drosophila</w:t>
      </w:r>
      <w:r>
        <w:t xml:space="preserve"> is a sleep-like state. </w:t>
      </w:r>
      <w:r>
        <w:rPr>
          <w:i/>
        </w:rPr>
        <w:t>Neuron</w:t>
      </w:r>
      <w:r>
        <w:t xml:space="preserve">, </w:t>
      </w:r>
      <w:r>
        <w:rPr>
          <w:b/>
        </w:rPr>
        <w:t>25</w:t>
      </w:r>
      <w:r>
        <w:t>, 129–138.</w:t>
      </w:r>
    </w:p>
    <w:p>
      <w:pPr>
        <w:spacing w:line="480" w:lineRule="auto" w:after="120"/>
        <w:ind w:left="432" w:hanging="432"/>
      </w:pPr>
      <w:r>
        <w:t xml:space="preserve">10. Shaw,P.J. </w:t>
      </w:r>
      <w:r>
        <w:rPr>
          <w:i/>
        </w:rPr>
        <w:t>et al.</w:t>
      </w:r>
      <w:r>
        <w:t xml:space="preserve"> (2000) Correlates of sleep and waking in </w:t>
      </w:r>
      <w:r>
        <w:rPr>
          <w:i/>
        </w:rPr>
        <w:t>Drosophila melanogaster</w:t>
      </w:r>
      <w:r>
        <w:t xml:space="preserve">. </w:t>
      </w:r>
      <w:r>
        <w:rPr>
          <w:i/>
        </w:rPr>
        <w:t>Science</w:t>
      </w:r>
      <w:r>
        <w:t xml:space="preserve">, </w:t>
      </w:r>
      <w:r>
        <w:rPr>
          <w:b/>
        </w:rPr>
        <w:t>287</w:t>
      </w:r>
      <w:r>
        <w:t>, 1834–1837.</w:t>
      </w:r>
    </w:p>
    <w:p>
      <w:pPr>
        <w:spacing w:line="480" w:lineRule="auto" w:after="120"/>
        <w:ind w:left="432" w:hanging="432"/>
      </w:pPr>
      <w:r>
        <w:t xml:space="preserve">11. Sokolove,P.G. and Bushell,W.N. (1978) The chi square periodogram: its utility for analysis of circadian rhythms. </w:t>
      </w:r>
      <w:r>
        <w:rPr>
          <w:i/>
        </w:rPr>
        <w:t>J. Theor. Biol.</w:t>
      </w:r>
      <w:r>
        <w:t xml:space="preserve">, </w:t>
      </w:r>
      <w:r>
        <w:rPr>
          <w:b/>
        </w:rPr>
        <w:t>72</w:t>
      </w:r>
      <w:r>
        <w:t>, 131–160.</w:t>
      </w:r>
    </w:p>
    <w:p>
      <w:pPr>
        <w:spacing w:line="480" w:lineRule="auto" w:after="120"/>
        <w:ind w:left="432" w:hanging="432"/>
      </w:pPr>
      <w:r>
        <w:t xml:space="preserve">12. Qiao,B. </w:t>
      </w:r>
      <w:r>
        <w:rPr>
          <w:i/>
        </w:rPr>
        <w:t>et al.</w:t>
      </w:r>
      <w:r>
        <w:t xml:space="preserve"> (2018) Automated analysis of long-term grooming behavior in </w:t>
      </w:r>
      <w:r>
        <w:rPr>
          <w:i/>
        </w:rPr>
        <w:t>Drosophila</w:t>
      </w:r>
      <w:r>
        <w:t xml:space="preserve"> using a k-nearest neighbors classifier. </w:t>
      </w:r>
      <w:r>
        <w:rPr>
          <w:i/>
        </w:rPr>
        <w:t>eLife</w:t>
      </w:r>
      <w:r>
        <w:t xml:space="preserve">, </w:t>
      </w:r>
      <w:r>
        <w:rPr>
          <w:b/>
        </w:rPr>
        <w:t>7</w:t>
      </w:r>
      <w:r>
        <w:t>, e34497.</w:t>
      </w:r>
    </w:p>
    <w:p>
      <w:pPr>
        <w:spacing w:line="480" w:lineRule="auto" w:after="120"/>
        <w:ind w:left="432" w:hanging="432"/>
      </w:pPr>
      <w:r>
        <w:t xml:space="preserve">13. Kaplan,E.L. and Meier,P. (1958) Nonparametric estimation from incomplete observations. </w:t>
      </w:r>
      <w:r>
        <w:rPr>
          <w:i/>
        </w:rPr>
        <w:t>J. Am. Stat. Assoc.</w:t>
      </w:r>
      <w:r>
        <w:t xml:space="preserve">, </w:t>
      </w:r>
      <w:r>
        <w:rPr>
          <w:b/>
        </w:rPr>
        <w:t>53</w:t>
      </w:r>
      <w:r>
        <w:t>, 457–481.</w:t>
      </w:r>
    </w:p>
    <w:p>
      <w:pPr>
        <w:spacing w:line="480" w:lineRule="auto" w:after="120"/>
        <w:ind w:left="432" w:hanging="432"/>
      </w:pPr>
      <w:r>
        <w:t xml:space="preserve">14. Cox,D.R. (1972) Regression models and life-tables. </w:t>
      </w:r>
      <w:r>
        <w:rPr>
          <w:i/>
        </w:rPr>
        <w:t>J. R. Stat. Soc. B</w:t>
      </w:r>
      <w:r>
        <w:t xml:space="preserve">, </w:t>
      </w:r>
      <w:r>
        <w:rPr>
          <w:b/>
        </w:rPr>
        <w:t>34</w:t>
      </w:r>
      <w:r>
        <w:t>, 187–220.</w:t>
      </w:r>
    </w:p>
    <w:p>
      <w:pPr>
        <w:spacing w:line="480" w:lineRule="auto" w:after="120"/>
        <w:ind w:left="432" w:hanging="432"/>
      </w:pPr>
      <w:r>
        <w:t xml:space="preserve">15. Benjamini,Y. and Hochberg,Y. (1995) Controlling the false discovery rate. </w:t>
      </w:r>
      <w:r>
        <w:rPr>
          <w:i/>
        </w:rPr>
        <w:t>J. R. Stat. Soc. B</w:t>
      </w:r>
      <w:r>
        <w:t xml:space="preserve">, </w:t>
      </w:r>
      <w:r>
        <w:rPr>
          <w:b/>
        </w:rPr>
        <w:t>57</w:t>
      </w:r>
      <w:r>
        <w:t>, 289–300.</w:t>
      </w:r>
    </w:p>
    <w:p>
      <w:pPr>
        <w:spacing w:line="480" w:lineRule="auto" w:after="120"/>
        <w:ind w:left="432" w:hanging="432"/>
      </w:pPr>
      <w:r>
        <w:t xml:space="preserve">16. Hedges,L.V. and Olkin,I. (1985) </w:t>
      </w:r>
      <w:r>
        <w:rPr>
          <w:i/>
        </w:rPr>
        <w:t>Statistical Methods for Meta-Analysis</w:t>
      </w:r>
      <w:r>
        <w:t>. Academic Press, Orlando.</w:t>
      </w:r>
    </w:p>
    <w:p>
      <w:pPr>
        <w:spacing w:line="480" w:lineRule="auto" w:after="120"/>
        <w:ind w:left="432" w:hanging="432"/>
      </w:pPr>
      <w:r>
        <w:t xml:space="preserve">17. Greenwood,M. (1926) The natural duration of cancer. </w:t>
      </w:r>
      <w:r>
        <w:rPr>
          <w:i/>
        </w:rPr>
        <w:t>Rep. Public Health Med. Subj.</w:t>
      </w:r>
      <w:r>
        <w:t xml:space="preserve">, </w:t>
      </w:r>
      <w:r>
        <w:rPr>
          <w:b/>
        </w:rPr>
        <w:t>33</w:t>
      </w:r>
      <w:r>
        <w:t>, 1–26.</w:t>
      </w:r>
    </w:p>
    <w:p>
      <w:pPr>
        <w:spacing w:line="480" w:lineRule="auto" w:after="120"/>
        <w:ind w:left="432" w:hanging="432"/>
      </w:pPr>
      <w:r>
        <w:t xml:space="preserve">18. DerSimonian,R. and Laird,N. (1986) Meta-analysis in clinical trials. </w:t>
      </w:r>
      <w:r>
        <w:rPr>
          <w:i/>
        </w:rPr>
        <w:t>Control. Clin. Trials</w:t>
      </w:r>
      <w:r>
        <w:t xml:space="preserve">, </w:t>
      </w:r>
      <w:r>
        <w:rPr>
          <w:b/>
        </w:rPr>
        <w:t>7</w:t>
      </w:r>
      <w:r>
        <w:t>, 177–188.</w:t>
      </w:r>
    </w:p>
    <w:p>
      <w:pPr>
        <w:spacing w:line="480" w:lineRule="auto" w:after="120"/>
        <w:ind w:left="432" w:hanging="432"/>
      </w:pPr>
      <w:r>
        <w:t xml:space="preserve">19. Brookmeyer,R. and Crowley,J. (1982) A confidence interval for the median survival time. </w:t>
      </w:r>
      <w:r>
        <w:rPr>
          <w:i/>
        </w:rPr>
        <w:t>Biometrics</w:t>
      </w:r>
      <w:r>
        <w:t xml:space="preserve">, </w:t>
      </w:r>
      <w:r>
        <w:rPr>
          <w:b/>
        </w:rPr>
        <w:t>38</w:t>
      </w:r>
      <w:r>
        <w:t>, 29–41.</w:t>
      </w:r>
    </w:p>
    <w:p>
      <w:pPr>
        <w:spacing w:line="480" w:lineRule="auto" w:after="120"/>
        <w:ind w:left="432" w:hanging="432"/>
      </w:pPr>
      <w:r>
        <w:t xml:space="preserve">20. Dobson,A.J. (1983) </w:t>
      </w:r>
      <w:r>
        <w:rPr>
          <w:i/>
        </w:rPr>
        <w:t>An Introduction to Statistical Modelling</w:t>
      </w:r>
      <w:r>
        <w:t>. Chapman &amp; Hall, London.</w:t>
      </w:r>
    </w:p>
    <w:p>
      <w:pPr>
        <w:spacing w:line="480" w:lineRule="auto" w:after="120"/>
        <w:ind w:left="432" w:hanging="432"/>
      </w:pPr>
      <w:r>
        <w:t xml:space="preserve">21. Therneau,T.M. and Grambsch,P.M. (2000) </w:t>
      </w:r>
      <w:r>
        <w:rPr>
          <w:i/>
        </w:rPr>
        <w:t>Modeling Survival Data: Extending the Cox Model</w:t>
      </w:r>
      <w:r>
        <w:t xml:space="preserve">. Springer, New York. (R </w:t>
      </w:r>
      <w:r>
        <w:rPr>
          <w:rFonts w:ascii="Consolas" w:hAnsi="Consolas"/>
          <w:sz w:val="19"/>
        </w:rPr>
        <w:t>survival</w:t>
      </w:r>
      <w:r>
        <w:t>.)</w:t>
      </w:r>
    </w:p>
    <w:p>
      <w:pPr>
        <w:spacing w:line="480" w:lineRule="auto" w:after="120"/>
        <w:ind w:left="432" w:hanging="432"/>
      </w:pPr>
      <w:r>
        <w:t xml:space="preserve">22. Davidson-Pilon,C. (2019) lifelines: survival analysis in Python. </w:t>
      </w:r>
      <w:r>
        <w:rPr>
          <w:i/>
        </w:rPr>
        <w:t>J. Open Source Softw.</w:t>
      </w:r>
      <w:r>
        <w:t xml:space="preserve">, </w:t>
      </w:r>
      <w:r>
        <w:rPr>
          <w:b/>
        </w:rPr>
        <w:t>4</w:t>
      </w:r>
      <w:r>
        <w:t>, 1317.</w:t>
      </w:r>
    </w:p>
    <w:p>
      <w:pPr>
        <w:spacing w:line="480" w:lineRule="auto" w:after="120"/>
        <w:ind w:left="432" w:hanging="432"/>
      </w:pPr>
      <w:r>
        <w:t xml:space="preserve">23. Seabold,S. and Perktold,J. (2010) statsmodels: econometric and statistical modeling with Python. </w:t>
      </w:r>
      <w:r>
        <w:rPr>
          <w:i/>
        </w:rPr>
        <w:t>Proc. 9th Python in Science Conf.</w:t>
      </w:r>
    </w:p>
    <w:p>
      <w:pPr>
        <w:spacing w:line="480" w:lineRule="auto" w:after="120"/>
        <w:ind w:left="432" w:hanging="432"/>
      </w:pPr>
      <w:r>
        <w:t xml:space="preserve">24. Virtanen,P. </w:t>
      </w:r>
      <w:r>
        <w:rPr>
          <w:i/>
        </w:rPr>
        <w:t>et al.</w:t>
      </w:r>
      <w:r>
        <w:t xml:space="preserve"> (2020) SciPy 1.0. </w:t>
      </w:r>
      <w:r>
        <w:rPr>
          <w:i/>
        </w:rPr>
        <w:t>Nat. Methods</w:t>
      </w:r>
      <w:r>
        <w:t xml:space="preserve">, </w:t>
      </w:r>
      <w:r>
        <w:rPr>
          <w:b/>
        </w:rPr>
        <w:t>17</w:t>
      </w:r>
      <w:r>
        <w:t>, 261–272.</w:t>
      </w:r>
    </w:p>
    <w:p>
      <w:pPr>
        <w:spacing w:line="480" w:lineRule="auto" w:after="120"/>
        <w:ind w:left="432" w:hanging="432"/>
      </w:pPr>
      <w:r>
        <w:t xml:space="preserve">25. Vallat,R. (2018) Pingouin: statistics in Python. </w:t>
      </w:r>
      <w:r>
        <w:rPr>
          <w:i/>
        </w:rPr>
        <w:t>J. Open Source Softw.</w:t>
      </w:r>
      <w:r>
        <w:t xml:space="preserve">, </w:t>
      </w:r>
      <w:r>
        <w:rPr>
          <w:b/>
        </w:rPr>
        <w:t>3</w:t>
      </w:r>
      <w:r>
        <w:t>, 1026.</w:t>
      </w:r>
    </w:p>
    <w:p>
      <w:pPr>
        <w:spacing w:line="480" w:lineRule="auto" w:after="120"/>
        <w:ind w:left="432" w:hanging="432"/>
      </w:pPr>
      <w:r>
        <w:t xml:space="preserve">26. Astropy Collaboration (2022) The Astropy Project. </w:t>
      </w:r>
      <w:r>
        <w:rPr>
          <w:i/>
        </w:rPr>
        <w:t>Astrophys. J.</w:t>
      </w:r>
      <w:r>
        <w:t xml:space="preserve">, </w:t>
      </w:r>
      <w:r>
        <w:rPr>
          <w:b/>
        </w:rPr>
        <w:t>935</w:t>
      </w:r>
      <w:r>
        <w:t>, 167.</w:t>
      </w:r>
    </w:p>
    <w:p>
      <w:pPr>
        <w:spacing w:line="480" w:lineRule="auto" w:after="120"/>
        <w:ind w:left="432" w:hanging="432"/>
      </w:pPr>
      <w:r>
        <w:t xml:space="preserve">27. Mönke,G., Sorgenfrei,F.A., Schmal,C. and Granada,A.E. (2020) Optimal time frequency analysis for biological data — pyBOAT. </w:t>
      </w:r>
      <w:r>
        <w:rPr>
          <w:i/>
        </w:rPr>
        <w:t>bioRxiv</w:t>
      </w:r>
      <w:r>
        <w:t>, doi:10.1101/2020.04.29.067744.</w:t>
      </w:r>
    </w:p>
    <w:sectPr w:rsidR="00FC693F" w:rsidRPr="0006063C" w:rsidSect="00034616">
      <w:pgSz w:w="12240" w:h="15840"/>
      <w:pgMar w:top="1440" w:right="1440" w:bottom="1440" w:left="1440" w:header="720" w:footer="720" w:gutter="0"/>
      <w:lnNumType w:countBy="1" w:restart="continuous" w:distance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