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"/>
    <w:bookmarkStart w:id="10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10"/>
    <w:bookmarkStart w:id="11" w:name="the-nine-hypotheses"/>
    <w:p>
      <w:pPr>
        <w:pStyle w:val="Heading2"/>
      </w:pPr>
      <w:r>
        <w:t xml:space="preserve">9.3 The nine hypotheses</w:t>
      </w:r>
    </w:p>
    <w:p>
      <w:pPr>
        <w:pStyle w:val="FirstParagraph"/>
      </w:pPr>
      <w:r>
        <w:t xml:space="preserve">Four hypotheses were refuted, four supported and one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</w:tbl>
    <w:p>
      <w:pPr>
        <w:pStyle w:val="BodyText"/>
      </w:pPr>
      <w:r>
        <w:t xml:space="preserve">Seven of the nine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1"/>
    <w:bookmarkStart w:id="12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in the git history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Commit</w:t>
      </w:r>
      <w:r>
        <w:t xml:space="preserve"> </w:t>
      </w:r>
      <w:r>
        <w:rPr>
          <w:rStyle w:val="VerbatimChar"/>
        </w:rPr>
        <w:t xml:space="preserve">f40b5d7</w:t>
      </w:r>
      <w:r>
        <w:t xml:space="preserve">,</w:t>
      </w:r>
      <w:r>
        <w:t xml:space="preserve"> </w:t>
      </w:r>
      <w:r>
        <w:t xml:space="preserve">“Act on the inversion findings:</w:t>
      </w:r>
      <w:r>
        <w:t xml:space="preserve"> </w:t>
      </w:r>
      <w:r>
        <w:t xml:space="preserve">describe the weights and the BBB term accurately”</w:t>
      </w:r>
      <w:r>
        <w:t xml:space="preserve">, relabelled them in the source, the interface and</w:t>
      </w:r>
      <w:r>
        <w:t xml:space="preserve"> </w:t>
      </w:r>
      <w:r>
        <w:t xml:space="preserve">the manuscript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same commit corrected the wording wherever it appeared.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8bb402b</w:t>
      </w:r>
      <w:r>
        <w:t xml:space="preserve">,</w:t>
      </w:r>
      <w:r>
        <w:t xml:space="preserve"> </w:t>
      </w:r>
      <w:r>
        <w:t xml:space="preserve">“Expand the panel where it was measured</w:t>
      </w:r>
      <w:r>
        <w:t xml:space="preserve"> </w:t>
      </w:r>
      <w:r>
        <w:t xml:space="preserve">to be weakest, and withdraw an endpoint that was firing on sugar”</w:t>
      </w:r>
      <w:r>
        <w:t xml:space="preserve">, followed from the H7 line of</w:t>
      </w:r>
      <w:r>
        <w:t xml:space="preserve"> </w:t>
      </w:r>
      <w:r>
        <w:t xml:space="preserve">enquiry.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Commit</w:t>
      </w:r>
      <w:r>
        <w:t xml:space="preserve"> </w:t>
      </w:r>
      <w:r>
        <w:rPr>
          <w:rStyle w:val="VerbatimChar"/>
        </w:rPr>
        <w:t xml:space="preserve">7fa7203</w:t>
      </w:r>
      <w:r>
        <w:t xml:space="preserve">,</w:t>
      </w:r>
      <w:r>
        <w:t xml:space="preserve"> </w:t>
      </w:r>
      <w:r>
        <w:t xml:space="preserve">“Make the inversion checks capable of failing, and let one of them fail”</w:t>
      </w:r>
      <w:r>
        <w:t xml:space="preserve">,</w:t>
      </w:r>
      <w:r>
        <w:t xml:space="preserve"> </w:t>
      </w:r>
      <w:r>
        <w:t xml:space="preserve">repaired checks that could not have returned a negative result. Commits</w:t>
      </w:r>
      <w:r>
        <w:t xml:space="preserve"> </w:t>
      </w:r>
      <w:r>
        <w:rPr>
          <w:rStyle w:val="VerbatimChar"/>
        </w:rPr>
        <w:t xml:space="preserve">da82d80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a3d184f</w:t>
      </w:r>
      <w:r>
        <w:t xml:space="preserve"> </w:t>
      </w:r>
      <w:r>
        <w:t xml:space="preserve">restricted H1 to compounds that are training actives of no 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2"/>
    <w:bookmarkStart w:id="13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nine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3"/>
    <w:bookmarkStart w:id="16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4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4"/>
    <w:bookmarkStart w:id="15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5"/>
    <w:bookmarkEnd w:id="16"/>
    <w:bookmarkStart w:id="17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7"/>
    <w:bookmarkStart w:id="18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defects, found while writing this chapter. None changes a verdict. Together they describe a suite</w:t>
      </w:r>
      <w:r>
        <w:t xml:space="preserve"> </w:t>
      </w:r>
      <w:r>
        <w:t xml:space="preserve">that was 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defect class that commit</w:t>
      </w:r>
      <w:r>
        <w:t xml:space="preserve"> </w:t>
      </w:r>
      <w:r>
        <w:rPr>
          <w:rStyle w:val="VerbatimChar"/>
        </w:rPr>
        <w:t xml:space="preserve">d8da016</w:t>
      </w:r>
      <w:r>
        <w:t xml:space="preserve"> </w:t>
      </w:r>
      <w:r>
        <w:t xml:space="preserve">fixed for the reliability gate, where the gate</w:t>
      </w:r>
      <w:r>
        <w:t xml:space="preserve"> </w:t>
      </w:r>
      <w:r>
        <w:t xml:space="preserve">“lived in six places and disagreed with itself in</w:t>
      </w:r>
      <w:r>
        <w:t xml:space="preserve"> </w:t>
      </w:r>
      <w:r>
        <w:t xml:space="preserve">three”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rPr>
          <w:i/>
          <w:iCs/>
        </w:rPr>
        <w:t xml:space="preserve">Fixed.</w:t>
      </w:r>
      <w:r>
        <w:t xml:space="preserve"> </w:t>
      </w:r>
      <w:r>
        <w:t xml:space="preserve">The comment now states the current triple over 7,008 compounds and records what it used to</w:t>
      </w:r>
      <w:r>
        <w:t xml:space="preserve"> </w:t>
      </w:r>
      <w:r>
        <w:t xml:space="preserve">say and why the wrong denominator survived: 15,609 agrees with the H2 accuracy to three decimals, so</w:t>
      </w:r>
      <w:r>
        <w:t xml:space="preserve"> </w:t>
      </w:r>
      <w:r>
        <w:t xml:space="preserve">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rPr>
          <w:i/>
          <w:iCs/>
        </w:rPr>
        <w:t xml:space="preserve">Fixed, and the fix found a worse defect than this chapter had.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rPr>
          <w:i/>
          <w:iCs/>
        </w:rPr>
        <w:t xml:space="preserve">Fixed, without re-running the sequence.</w:t>
      </w:r>
      <w:r>
        <w:t xml:space="preserve"> </w:t>
      </w:r>
      <w:r>
        <w:t xml:space="preserve">The dilemma above was real and the resolution is narrower</w:t>
      </w:r>
      <w:r>
        <w:t xml:space="preserve"> </w:t>
      </w:r>
      <w:r>
        <w:t xml:space="preserve">than either horn of it. Four of the file’s six columns were already correct; only the two 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8"/>
    <w:bookmarkStart w:id="19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limits, stated because the suite is the strongest evidence in this thesis and overreading it</w:t>
      </w:r>
      <w:r>
        <w:t xml:space="preserve"> </w:t>
      </w:r>
      <w:r>
        <w:t xml:space="preserve">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nine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 and H9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 returned a</w:t>
      </w:r>
      <w:r>
        <w:t xml:space="preserve"> </w:t>
      </w:r>
      <w:r>
        <w:t xml:space="preserve">result its author judged unfairly scored. Three of the nine hypotheses exist because earlier ones</w:t>
      </w:r>
      <w:r>
        <w:t xml:space="preserve"> </w:t>
      </w:r>
      <w:r>
        <w:t xml:space="preserve">produced surprises, which is the right way for a suite to grow and also an admission that its initial</w:t>
      </w:r>
      <w:r>
        <w:t xml:space="preserve"> </w:t>
      </w:r>
      <w:r>
        <w:t xml:space="preserve">coverage was set by intuition.</w:t>
      </w:r>
    </w:p>
    <w:p>
      <w:pPr>
        <w:pStyle w:val="BodyText"/>
      </w:pPr>
      <w:r>
        <w:rPr>
          <w:b/>
          <w:bCs/>
        </w:rPr>
        <w:t xml:space="preserve">Nothing in it tests the barrier model.</w:t>
      </w:r>
      <w:r>
        <w:t xml:space="preserve"> </w:t>
      </w:r>
      <w:r>
        <w:t xml:space="preserve">H1, H2, H3, H6 and H9 test the disease layer; H5 tests</w:t>
      </w:r>
      <w:r>
        <w:t xml:space="preserve"> </w:t>
      </w:r>
      <w:r>
        <w:t xml:space="preserve">read-across; H7 and H8 test the target panel; H4 tests system-level specificity. The BBB classifier,</w:t>
      </w:r>
      <w:r>
        <w:t xml:space="preserve"> </w:t>
      </w:r>
      <w:r>
        <w:t xml:space="preserve">which gates every disease score and is the component the whole architecture is named for, has no</w:t>
      </w:r>
      <w:r>
        <w:t xml:space="preserve"> </w:t>
      </w:r>
      <w:r>
        <w:t xml:space="preserve">hypothesis. Its evidence is the external set in Chapter 8, AUROC 0.7934 on 241 unseen drugs, which is</w:t>
      </w:r>
      <w:r>
        <w:t xml:space="preserve"> </w:t>
      </w:r>
      <w:r>
        <w:t xml:space="preserve">a validation and not a falsification. The obvious missing test is a null asking whether the barrier</w:t>
      </w:r>
      <w:r>
        <w:t xml:space="preserve"> </w:t>
      </w:r>
      <w:r>
        <w:t xml:space="preserve">model’s contribution to the gated score could be replaced by a molecular-weight or cLogP rule without</w:t>
      </w:r>
      <w:r>
        <w:t xml:space="preserve"> </w:t>
      </w:r>
      <w:r>
        <w:t xml:space="preserve">loss. That test does not exist and should.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9"/>
    <w:bookmarkStart w:id="20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refuted.</w:t>
      </w:r>
      <w:r>
        <w:t xml:space="preserve"> </w:t>
      </w:r>
      <w:r>
        <w:t xml:space="preserve">Four of nine central claims did not survive. Two changed how the system is described,</w:t>
      </w:r>
      <w:r>
        <w:t xml:space="preserve"> </w:t>
      </w:r>
      <w:r>
        <w:t xml:space="preserve">one changed the interface, and one contributed to withdrawing four endpoints that were firing on</w:t>
      </w:r>
      <w:r>
        <w:t xml:space="preserve"> </w:t>
      </w:r>
      <w:r>
        <w:t xml:space="preserve">glucose, urea and lactate.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20"/>
    <w:bookmarkEnd w:id="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2026-09-04T19:13:01Z</dcterms:created>
  <dcterms:modified xsi:type="dcterms:W3CDTF">2026-09-04T19:13:01Z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