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35.png" ContentType="image/png"/>
  <Override PartName="/word/media/rId38.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6" w:name="X1c7b81a75f7761703d688a563316ee363ab586c"/>
    <w:p>
      <w:pPr>
        <w:pStyle w:val="Heading1"/>
      </w:pPr>
      <w:r>
        <w:t xml:space="preserve">BrainSafe AI: a calibrated, exposure-gated web server for multi-endpoint prediction of small-molecule action in the human brain</w:t>
      </w:r>
    </w:p>
    <w:p>
      <w:pPr>
        <w:pStyle w:val="FirstParagraph"/>
      </w:pPr>
      <w:r>
        <w:rPr>
          <w:b/>
          <w:bCs/>
        </w:rPr>
        <w:t xml:space="preserve">Authors:</w:t>
      </w:r>
      <w:r>
        <w:t xml:space="preserve"> </w:t>
      </w:r>
      <w:r>
        <w:t xml:space="preserve">[TO BE SUPPLIED]</w:t>
      </w:r>
    </w:p>
    <w:p>
      <w:pPr>
        <w:pStyle w:val="BodyText"/>
      </w:pPr>
      <w:r>
        <w:rPr>
          <w:b/>
          <w:bCs/>
        </w:rPr>
        <w:t xml:space="preserve">Affiliation:</w:t>
      </w:r>
      <w:r>
        <w:t xml:space="preserve"> </w:t>
      </w:r>
      <w:r>
        <w:t xml:space="preserve">SAI-Net initiative, Sri Sathya Sai Institute of Higher Learning (SSSIHL), Prasanthi Nilayam, India.</w:t>
      </w:r>
    </w:p>
    <w:p>
      <w:pPr>
        <w:pStyle w:val="BodyText"/>
      </w:pPr>
      <w:r>
        <w:rPr>
          <w:b/>
          <w:bCs/>
        </w:rPr>
        <w:t xml:space="preserve">Correspondence:</w:t>
      </w:r>
      <w:r>
        <w:t xml:space="preserve"> </w:t>
      </w:r>
      <w:r>
        <w:t xml:space="preserve">[TO BE SUPPLIED]</w:t>
      </w:r>
    </w:p>
    <w:p>
      <w:pPr>
        <w:pStyle w:val="BodyText"/>
      </w:pPr>
      <w:r>
        <w:rPr>
          <w:b/>
          <w:bCs/>
        </w:rPr>
        <w:t xml:space="preserve">Manuscript type:</w:t>
      </w:r>
      <w:r>
        <w:t xml:space="preserve"> </w:t>
      </w:r>
      <w:r>
        <w:t xml:space="preserve">NAR Web Server Issue.</w:t>
      </w:r>
    </w:p>
    <w:p>
      <w:r>
        <w:pict>
          <v:rect style="width:0;height:1.5pt" o:hralign="center" o:hrstd="t" o:hr="t"/>
        </w:pict>
      </w:r>
    </w:p>
    <w:bookmarkStart w:id="9" w:name="abstract"/>
    <w:p>
      <w:pPr>
        <w:pStyle w:val="Heading2"/>
      </w:pPr>
      <w:r>
        <w:t xml:space="preserve">Abstract</w:t>
      </w:r>
    </w:p>
    <w:p>
      <w:pPr>
        <w:pStyle w:val="FirstParagraph"/>
      </w:pPr>
      <w:r>
        <w:t xml:space="preserve">BrainSafe AI is a web server that profiles the mechanism by which a small molecule may act on the</w:t>
      </w:r>
      <w:r>
        <w:t xml:space="preserve"> </w:t>
      </w:r>
      <w:r>
        <w:t xml:space="preserve">human brain, from structure alone. For a submitted SMILES string or compound name it returns, in a</w:t>
      </w:r>
      <w:r>
        <w:t xml:space="preserve"> </w:t>
      </w:r>
      <w:r>
        <w:t xml:space="preserve">few seconds, engagement of 54 molecular targets spanning the principal neurodegenerative,</w:t>
      </w:r>
      <w:r>
        <w:t xml:space="preserve"> </w:t>
      </w:r>
      <w:r>
        <w:t xml:space="preserve">psychiatric, neuroinflammatory, analgesic and sleep-related axes, predicted blood-brain barrier</w:t>
      </w:r>
      <w:r>
        <w:t xml:space="preserve"> </w:t>
      </w:r>
      <w:r>
        <w:t xml:space="preserve">penetration, two cardiac safety liabilities, and a nine-endpoint ADME and exposure layer including a</w:t>
      </w:r>
      <w:r>
        <w:t xml:space="preserve"> </w:t>
      </w:r>
      <w:r>
        <w:t xml:space="preserve">directly modelled unbound brain-to-plasma ratio. Every target score is admitted only in proportion to</w:t>
      </w:r>
      <w:r>
        <w:t xml:space="preserve"> </w:t>
      </w:r>
      <w:r>
        <w:t xml:space="preserve">predicted brain exposure, so potency at a target a compound cannot reach contributes nothing, and</w:t>
      </w:r>
      <w:r>
        <w:t xml:space="preserve"> </w:t>
      </w:r>
      <w:r>
        <w:t xml:space="preserve">engaged targets are traced through a curated pathway graph to the conditions they touch. The</w:t>
      </w:r>
      <w:r>
        <w:t xml:space="preserve"> </w:t>
      </w:r>
      <w:r>
        <w:t xml:space="preserve">server is built on 75 estimators, 70 of them deployed, trained on 228,200 measured</w:t>
      </w:r>
      <w:r>
        <w:t xml:space="preserve"> </w:t>
      </w:r>
      <w:r>
        <w:t xml:space="preserve">compound-endpoint records from ChEMBL</w:t>
      </w:r>
      <w:r>
        <w:t xml:space="preserve"> </w:t>
      </w:r>
      <w:r>
        <w:t xml:space="preserve">(1), BindingDB (2) and B3DB (3), and validated under both random and</w:t>
      </w:r>
      <w:r>
        <w:t xml:space="preserve"> </w:t>
      </w:r>
      <w:r>
        <w:t xml:space="preserve">scaffold-grouped 10-fold cross-validation: mean AUROC 0.958 and 0.925 respectively across the</w:t>
      </w:r>
      <w:r>
        <w:t xml:space="preserve"> </w:t>
      </w:r>
      <w:r>
        <w:t xml:space="preserve">measured-label classifiers, with expected calibration error falling from 0.0801 to 0.0147 after</w:t>
      </w:r>
      <w:r>
        <w:t xml:space="preserve"> </w:t>
      </w:r>
      <w:r>
        <w:t xml:space="preserve">isotonic calibration. Every prediction carries a calibrated probability, a conformal interval and an</w:t>
      </w:r>
      <w:r>
        <w:t xml:space="preserve"> </w:t>
      </w:r>
      <w:r>
        <w:t xml:space="preserve">applicability-domain distance to the nearest measured analogue, and the server reports silence rather</w:t>
      </w:r>
      <w:r>
        <w:t xml:space="preserve"> </w:t>
      </w:r>
      <w:r>
        <w:t xml:space="preserve">than a guess for compounds outside its competence: on non-CNS chemistry its specificity is 0.949</w:t>
      </w:r>
      <w:r>
        <w:t xml:space="preserve"> </w:t>
      </w:r>
      <w:r>
        <w:t xml:space="preserve">(95% CI 0.934 to 0.961). The binder panel, validated against compounds measured and found inactive at</w:t>
      </w:r>
      <w:r>
        <w:t xml:space="preserve"> </w:t>
      </w:r>
      <w:r>
        <w:t xml:space="preserve">the same target rather than against decoys, reaches a mean AUROC of 0.917 and recovers the</w:t>
      </w:r>
      <w:r>
        <w:t xml:space="preserve"> </w:t>
      </w:r>
      <w:r>
        <w:t xml:space="preserve">pharmacologically correct driving target for reference drugs. Disease-level scores are presented as a</w:t>
      </w:r>
      <w:r>
        <w:t xml:space="preserve"> </w:t>
      </w:r>
      <w:r>
        <w:t xml:space="preserve">route from a mechanism to the conditions it touches, not as an indication prediction, because 27 of</w:t>
      </w:r>
      <w:r>
        <w:t xml:space="preserve"> </w:t>
      </w:r>
      <w:r>
        <w:t xml:space="preserve">the 51 targets in the pathway graph drive more than one condition and structure alone does not</w:t>
      </w:r>
      <w:r>
        <w:t xml:space="preserve"> </w:t>
      </w:r>
      <w:r>
        <w:t xml:space="preserve">resolve which. BrainSafe AI is freely available without registration at https://huggingface.co/spaces/Krishnag999/brainsafe-ai, with source code, trained models and all validation artefacts at</w:t>
      </w:r>
      <w:r>
        <w:t xml:space="preserve"> </w:t>
      </w:r>
      <w:r>
        <w:t xml:space="preserve">https://github.com/krishna-g-999/brainsafe-ai.</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Central nervous system drug discovery fails in a characteristic way. A compound can be potent at its</w:t>
      </w:r>
      <w:r>
        <w:t xml:space="preserve"> </w:t>
      </w:r>
      <w:r>
        <w:t xml:space="preserve">intended target and never reach the brain, or reach it and carry an unacceptable liability, or engage</w:t>
      </w:r>
      <w:r>
        <w:t xml:space="preserve"> </w:t>
      </w:r>
      <w:r>
        <w:t xml:space="preserve">targets nobody tested and acquire a clinical profile nobody predicted. Pharmacokinetics and the</w:t>
      </w:r>
      <w:r>
        <w:t xml:space="preserve"> </w:t>
      </w:r>
      <w:r>
        <w:t xml:space="preserve">barrier itself, rather than target affinity, account for a large share of central attrition</w:t>
      </w:r>
      <w:r>
        <w:t xml:space="preserve"> </w:t>
      </w:r>
      <w:r>
        <w:t xml:space="preserve">(4), and the quantity that governs central action is not total brain concentration but</w:t>
      </w:r>
      <w:r>
        <w:t xml:space="preserve"> </w:t>
      </w:r>
      <w:r>
        <w:t xml:space="preserve">the unbound brain-to-plasma ratio (5).</w:t>
      </w:r>
    </w:p>
    <w:p>
      <w:pPr>
        <w:pStyle w:val="BodyText"/>
      </w:pPr>
      <w:r>
        <w:t xml:space="preserve">Answering</w:t>
      </w:r>
      <w:r>
        <w:t xml:space="preserve"> </w:t>
      </w:r>
      <w:r>
        <w:t xml:space="preserve">“will this molecule act on the brain, through what, and is it safe”</w:t>
      </w:r>
      <w:r>
        <w:t xml:space="preserve"> </w:t>
      </w:r>
      <w:r>
        <w:t xml:space="preserve">therefore requires</w:t>
      </w:r>
      <w:r>
        <w:t xml:space="preserve"> </w:t>
      </w:r>
      <w:r>
        <w:t xml:space="preserve">exposure, target engagement and liability to be answered together. Existing public resources address</w:t>
      </w:r>
      <w:r>
        <w:t xml:space="preserve"> </w:t>
      </w:r>
      <w:r>
        <w:t xml:space="preserve">these separately. Property-based schemes such as CNS MPO (6) score the exposure axis well but</w:t>
      </w:r>
      <w:r>
        <w:t xml:space="preserve"> </w:t>
      </w:r>
      <w:r>
        <w:t xml:space="preserve">name no mechanism. Single-endpoint QSAR models name one mechanism but say nothing about whether the</w:t>
      </w:r>
      <w:r>
        <w:t xml:space="preserve"> </w:t>
      </w:r>
      <w:r>
        <w:t xml:space="preserve">compound arrives. Large language models are fluent and will produce measured-looking identifiers that</w:t>
      </w:r>
      <w:r>
        <w:t xml:space="preserve"> </w:t>
      </w:r>
      <w:r>
        <w:t xml:space="preserve">do not exist. None of these returns a calibrated probability with a statement of when it should not</w:t>
      </w:r>
      <w:r>
        <w:t xml:space="preserve"> </w:t>
      </w:r>
      <w:r>
        <w:t xml:space="preserve">be trusted.</w:t>
      </w:r>
    </w:p>
    <w:p>
      <w:pPr>
        <w:pStyle w:val="BodyText"/>
      </w:pPr>
      <w:r>
        <w:t xml:space="preserve">BrainSafe AI unifies these axes for any user-supplied structure, under three design commitments.</w:t>
      </w:r>
      <w:r>
        <w:t xml:space="preserve"> </w:t>
      </w:r>
      <w:r>
        <w:t xml:space="preserve">First, every endpoint is trained only on</w:t>
      </w:r>
      <w:r>
        <w:t xml:space="preserve"> </w:t>
      </w:r>
      <w:r>
        <w:rPr>
          <w:i/>
          <w:iCs/>
        </w:rPr>
        <w:t xml:space="preserve">measured</w:t>
      </w:r>
      <w:r>
        <w:t xml:space="preserve"> </w:t>
      </w:r>
      <w:r>
        <w:t xml:space="preserve">experimental values, never on qualitative</w:t>
      </w:r>
      <w:r>
        <w:t xml:space="preserve"> </w:t>
      </w:r>
      <w:r>
        <w:t xml:space="preserve">annotation, so a prediction is not a restatement of a curator’s opinion. Second, every prediction is</w:t>
      </w:r>
      <w:r>
        <w:t xml:space="preserve"> </w:t>
      </w:r>
      <w:r>
        <w:t xml:space="preserve">accompanied by its uncertainty: a calibrated probability, a conformal interval, and the nearest</w:t>
      </w:r>
      <w:r>
        <w:t xml:space="preserve"> </w:t>
      </w:r>
      <w:r>
        <w:t xml:space="preserve">measured analogue with its similarity, so a user can tell interpolation from extrapolation. Third,</w:t>
      </w:r>
      <w:r>
        <w:t xml:space="preserve"> </w:t>
      </w:r>
      <w:r>
        <w:t xml:space="preserve">predictions are mechanistically traceable: individual target engagements are followed through a</w:t>
      </w:r>
      <w:r>
        <w:t xml:space="preserve"> </w:t>
      </w:r>
      <w:r>
        <w:t xml:space="preserve">curated graph into disease-level scores, gated by predicted exposure, so the output is an explanation</w:t>
      </w:r>
      <w:r>
        <w:t xml:space="preserve"> </w:t>
      </w:r>
      <w:r>
        <w:t xml:space="preserve">rather than a bare score.</w:t>
      </w:r>
    </w:p>
    <w:p>
      <w:pPr>
        <w:pStyle w:val="BodyText"/>
      </w:pPr>
      <w:r>
        <w:t xml:space="preserve">The design also commits to reporting where the server does not work. Five endpoints were trained,</w:t>
      </w:r>
      <w:r>
        <w:t xml:space="preserve"> </w:t>
      </w:r>
      <w:r>
        <w:t xml:space="preserve">tested and withdrawn; one adversarial check fails and is reported as failing; and the server stays</w:t>
      </w:r>
      <w:r>
        <w:t xml:space="preserve"> </w:t>
      </w:r>
      <w:r>
        <w:t xml:space="preserve">silent rather than guessing on chemistry it cannot place.</w:t>
      </w:r>
    </w:p>
    <w:p>
      <w:r>
        <w:pict>
          <v:rect style="width:0;height:1.5pt" o:hralign="center" o:hrstd="t" o:hr="t"/>
        </w:pict>
      </w:r>
    </w:p>
    <w:bookmarkEnd w:id="10"/>
    <w:bookmarkStart w:id="17" w:name="materials-and-methods"/>
    <w:p>
      <w:pPr>
        <w:pStyle w:val="Heading2"/>
      </w:pPr>
      <w:r>
        <w:t xml:space="preserve">Materials and Methods</w:t>
      </w:r>
    </w:p>
    <w:bookmarkStart w:id="11" w:name="endpoint-selection"/>
    <w:p>
      <w:pPr>
        <w:pStyle w:val="Heading3"/>
      </w:pPr>
      <w:r>
        <w:t xml:space="preserve">Endpoint selection</w:t>
      </w:r>
    </w:p>
    <w:p>
      <w:pPr>
        <w:pStyle w:val="FirstParagraph"/>
      </w:pPr>
      <w:r>
        <w:t xml:space="preserve">The panel is organised around the four questions a CNS candidate must satisfy in sequence.</w:t>
      </w:r>
      <w:r>
        <w:t xml:space="preserve"> </w:t>
      </w:r>
      <w:r>
        <w:rPr>
          <w:i/>
          <w:iCs/>
        </w:rPr>
        <w:t xml:space="preserve">Exposure</w:t>
      </w:r>
      <w:r>
        <w:t xml:space="preserve"> </w:t>
      </w:r>
      <w:r>
        <w:t xml:space="preserve">is modelled first, because a molecule that reaches no free concentration in brain tissue</w:t>
      </w:r>
      <w:r>
        <w:t xml:space="preserve"> </w:t>
      </w:r>
      <w:r>
        <w:t xml:space="preserve">cannot act centrally however potent it is.</w:t>
      </w:r>
      <w:r>
        <w:t xml:space="preserve"> </w:t>
      </w:r>
      <w:r>
        <w:rPr>
          <w:i/>
          <w:iCs/>
        </w:rPr>
        <w:t xml:space="preserve">Target engagement</w:t>
      </w:r>
      <w:r>
        <w:t xml:space="preserve"> </w:t>
      </w:r>
      <w:r>
        <w:t xml:space="preserve">covers the cholinergic axis, where</w:t>
      </w:r>
      <w:r>
        <w:t xml:space="preserve"> </w:t>
      </w:r>
      <w:r>
        <w:t xml:space="preserve">acetylcholinesterase inhibition remains the mainstay symptomatic treatment in Alzheimer’s disease</w:t>
      </w:r>
      <w:r>
        <w:t xml:space="preserve"> </w:t>
      </w:r>
      <w:r>
        <w:t xml:space="preserve">(7), and the amyloid and tau axes (8); monoamine oxidase B (9) and LRRK2</w:t>
      </w:r>
      <w:r>
        <w:t xml:space="preserve"> </w:t>
      </w:r>
      <w:r>
        <w:t xml:space="preserve">(10) for Parkinson’s disease; the monoaminergic, opioid, cannabinoid, histaminergic and</w:t>
      </w:r>
      <w:r>
        <w:t xml:space="preserve"> </w:t>
      </w:r>
      <w:r>
        <w:t xml:space="preserve">adenosine systems underlying depression, psychosis, addiction, chronic pain and sleep regulation, the</w:t>
      </w:r>
      <w:r>
        <w:t xml:space="preserve"> </w:t>
      </w:r>
      <w:r>
        <w:t xml:space="preserve">last including the orexin receptors (11); and three axes implicated across several</w:t>
      </w:r>
      <w:r>
        <w:t xml:space="preserve"> </w:t>
      </w:r>
      <w:r>
        <w:t xml:space="preserve">neurodegenerative conditions rather than tied to one, NLRP3-driven neuroinflammation</w:t>
      </w:r>
      <w:r>
        <w:t xml:space="preserve"> </w:t>
      </w:r>
      <w:r>
        <w:t xml:space="preserve">(12), KEAP1-NRF2 antioxidant signalling (13), and histone deacetylase activity,</w:t>
      </w:r>
      <w:r>
        <w:t xml:space="preserve"> </w:t>
      </w:r>
      <w:r>
        <w:t xml:space="preserve">whose genetic removal modifies pathology in Huntington’s disease models (14). Glutamatergic</w:t>
      </w:r>
      <w:r>
        <w:t xml:space="preserve"> </w:t>
      </w:r>
      <w:r>
        <w:t xml:space="preserve">targets are included on the same basis, riluzole being the long-standing approved agent acting on</w:t>
      </w:r>
      <w:r>
        <w:t xml:space="preserve"> </w:t>
      </w:r>
      <w:r>
        <w:t xml:space="preserve">that axis (15).</w:t>
      </w:r>
      <w:r>
        <w:t xml:space="preserve"> </w:t>
      </w:r>
      <w:r>
        <w:rPr>
          <w:i/>
          <w:iCs/>
        </w:rPr>
        <w:t xml:space="preserve">Safety</w:t>
      </w:r>
      <w:r>
        <w:t xml:space="preserve"> </w:t>
      </w:r>
      <w:r>
        <w:t xml:space="preserve">is represented by hERG blockade, a leading cause of late-stage</w:t>
      </w:r>
      <w:r>
        <w:t xml:space="preserve"> </w:t>
      </w:r>
      <w:r>
        <w:t xml:space="preserve">cardiovascular attrition through QT prolongation (16).</w:t>
      </w:r>
      <w:r>
        <w:t xml:space="preserve"> </w:t>
      </w:r>
      <w:r>
        <w:rPr>
          <w:i/>
          <w:iCs/>
        </w:rPr>
        <w:t xml:space="preserve">Developability</w:t>
      </w:r>
      <w:r>
        <w:t xml:space="preserve"> </w:t>
      </w:r>
      <w:r>
        <w:t xml:space="preserve">is covered by the</w:t>
      </w:r>
      <w:r>
        <w:t xml:space="preserve"> </w:t>
      </w:r>
      <w:r>
        <w:t xml:space="preserve">ADME layer.</w:t>
      </w:r>
    </w:p>
    <w:bookmarkEnd w:id="11"/>
    <w:bookmarkStart w:id="12" w:name="X4c14ac2b94751b2f7327c8feb73f69292994298"/>
    <w:p>
      <w:pPr>
        <w:pStyle w:val="Heading3"/>
      </w:pPr>
      <w:r>
        <w:t xml:space="preserve">Training data and the recovery of the negative class</w:t>
      </w:r>
    </w:p>
    <w:p>
      <w:pPr>
        <w:pStyle w:val="FirstParagraph"/>
      </w:pPr>
      <w:r>
        <w:t xml:space="preserve">Protein-target activity is pooled at compound level from ChEMBL (1) pChEMBL values and</w:t>
      </w:r>
      <w:r>
        <w:t xml:space="preserve"> </w:t>
      </w:r>
      <w:r>
        <w:t xml:space="preserve">BindingDB (2); blood-brain barrier labels come from B3DB (3) augmented with FDA-curated</w:t>
      </w:r>
      <w:r>
        <w:t xml:space="preserve"> </w:t>
      </w:r>
      <w:r>
        <w:t xml:space="preserve">approved drugs; the nine ADME endpoints use measured sets from Therapeutics Data Commons (17),</w:t>
      </w:r>
      <w:r>
        <w:t xml:space="preserve"> </w:t>
      </w:r>
      <w:r>
        <w:t xml:space="preserve">MoleculeNet (18), B3DB and ChEMBL. The panel holds 228,200 measured compound-endpoint</w:t>
      </w:r>
      <w:r>
        <w:t xml:space="preserve"> </w:t>
      </w:r>
      <w:r>
        <w:t xml:space="preserve">records over 169,341 unique compounds keyed by the InChIKey of the desalted parent. No value is</w:t>
      </w:r>
      <w:r>
        <w:t xml:space="preserve"> </w:t>
      </w:r>
      <w:r>
        <w:t xml:space="preserve">imputed and no annotation overrides a measurement. Each endpoint is trained on its own measured set</w:t>
      </w:r>
      <w:r>
        <w:t xml:space="preserve"> </w:t>
      </w:r>
      <w:r>
        <w:t xml:space="preserve">alone; across the deployed panel those sets span from 387 compounds (KEAP1) to 10,276 (hERG),</w:t>
      </w:r>
      <w:r>
        <w:t xml:space="preserve"> </w:t>
      </w:r>
      <w:r>
        <w:t xml:space="preserve">with a median of 3,789. That set is every deployed model owning a table in data/endpoints, the</w:t>
      </w:r>
      <w:r>
        <w:t xml:space="preserve"> </w:t>
      </w:r>
      <w:r>
        <w:t xml:space="preserve">barrier model included; excluding it, since it is an exposure rather than a target endpoint,</w:t>
      </w:r>
      <w:r>
        <w:t xml:space="preserve"> </w:t>
      </w:r>
      <w:r>
        <w:t xml:space="preserve">gives 54 tables and a median of 3,587.</w:t>
      </w:r>
    </w:p>
    <w:p>
      <w:pPr>
        <w:pStyle w:val="BodyText"/>
      </w:pPr>
      <w:r>
        <w:t xml:space="preserve">A bioactivity record describes what was found to bind. A compound assayed and found inactive is</w:t>
      </w:r>
      <w:r>
        <w:t xml:space="preserve"> </w:t>
      </w:r>
      <w:r>
        <w:t xml:space="preserve">frequently deposited only as a censored bound,</w:t>
      </w:r>
      <w:r>
        <w:t xml:space="preserve"> </w:t>
      </w:r>
      <w:r>
        <w:rPr>
          <w:rStyle w:val="VerbatimChar"/>
        </w:rPr>
        <w:t xml:space="preserve">standard_relation</w:t>
      </w:r>
      <w:r>
        <w:t xml:space="preserve"> </w:t>
      </w:r>
      <w:r>
        <w:rPr>
          <w:rStyle w:val="VerbatimChar"/>
        </w:rPr>
        <w:t xml:space="preserve">&gt;</w:t>
      </w:r>
      <w:r>
        <w:t xml:space="preserve"> </w:t>
      </w:r>
      <w:r>
        <w:t xml:space="preserve">with no pChEMBL value, and the</w:t>
      </w:r>
      <w:r>
        <w:t xml:space="preserve"> </w:t>
      </w:r>
      <w:r>
        <w:t xml:space="preserve">conventional query, which filters on pChEMBL, discards exactly those rows. Training on what survives</w:t>
      </w:r>
      <w:r>
        <w:t xml:space="preserve"> </w:t>
      </w:r>
      <w:r>
        <w:t xml:space="preserve">that filter yields a positive class drawn from measurement and a negative class drawn from</w:t>
      </w:r>
      <w:r>
        <w:t xml:space="preserve"> </w:t>
      </w:r>
      <w:r>
        <w:t xml:space="preserve">property-matched decoys, and it left 35 of the 60 protein-target endpoints then in the panel above</w:t>
      </w:r>
      <w:r>
        <w:t xml:space="preserve"> </w:t>
      </w:r>
      <w:r>
        <w:t xml:space="preserve">90 per cent active, which is a property of the query rather than of the chemistry.</w:t>
      </w:r>
    </w:p>
    <w:p>
      <w:pPr>
        <w:pStyle w:val="BodyText"/>
      </w:pPr>
      <w:r>
        <w:t xml:space="preserve">A censored bound settles a label whenever the entire interval it defines falls on one side of the</w:t>
      </w:r>
      <w:r>
        <w:t xml:space="preserve"> </w:t>
      </w:r>
      <w:r>
        <w:t xml:space="preserve">activity cut.</w:t>
      </w:r>
      <w:r>
        <w:t xml:space="preserve"> </w:t>
      </w:r>
      <w:r>
        <w:rPr>
          <w:rStyle w:val="VerbatimChar"/>
        </w:rPr>
        <w:t xml:space="preserve">IC50 &gt; 10 uM</w:t>
      </w:r>
      <w:r>
        <w:t xml:space="preserve"> </w:t>
      </w:r>
      <w:r>
        <w:t xml:space="preserve">places the true potency strictly below pChEMBL 5.0 and is a measured</w:t>
      </w:r>
      <w:r>
        <w:t xml:space="preserve"> </w:t>
      </w:r>
      <w:r>
        <w:t xml:space="preserve">non-binder;</w:t>
      </w:r>
      <w:r>
        <w:t xml:space="preserve"> </w:t>
      </w:r>
      <w:r>
        <w:rPr>
          <w:rStyle w:val="VerbatimChar"/>
        </w:rPr>
        <w:t xml:space="preserve">IC50 &gt; 100 nM</w:t>
      </w:r>
      <w:r>
        <w:t xml:space="preserve"> </w:t>
      </w:r>
      <w:r>
        <w:t xml:space="preserve">spans both classes and is discarded as undecidable rather than guessed</w:t>
      </w:r>
      <w:r>
        <w:t xml:space="preserve"> </w:t>
      </w:r>
      <w:r>
        <w:t xml:space="preserve">at. Recovering these added 29,751 measured non-binders across 57 endpoints and reduced the endpoints</w:t>
      </w:r>
      <w:r>
        <w:t xml:space="preserve"> </w:t>
      </w:r>
      <w:r>
        <w:t xml:space="preserve">above 90 per cent active from 35 to 13 (Supplementary Figure S1). A bound is never used as a value: it assigns a</w:t>
      </w:r>
      <w:r>
        <w:t xml:space="preserve"> </w:t>
      </w:r>
      <w:r>
        <w:t xml:space="preserve">class and never enters a regression.</w:t>
      </w:r>
    </w:p>
    <w:bookmarkEnd w:id="12"/>
    <w:bookmarkStart w:id="13" w:name="representation-and-model-selection"/>
    <w:p>
      <w:pPr>
        <w:pStyle w:val="Heading3"/>
      </w:pPr>
      <w:r>
        <w:t xml:space="preserve">Representation and model selection</w:t>
      </w:r>
    </w:p>
    <w:p>
      <w:pPr>
        <w:pStyle w:val="FirstParagraph"/>
      </w:pPr>
      <w:r>
        <w:t xml:space="preserve">Each compound is reduced to its largest organic fragment, neutralised, sanitised, and represented</w:t>
      </w:r>
      <w:r>
        <w:t xml:space="preserve"> </w:t>
      </w:r>
      <w:r>
        <w:t xml:space="preserve">by a fixed 1,036-column vector: a 1,024-bit folded ECFP-4 fingerprint (19) and twelve physicochemical</w:t>
      </w:r>
      <w:r>
        <w:t xml:space="preserve"> </w:t>
      </w:r>
      <w:r>
        <w:t xml:space="preserve">descriptors (molecular weight, cLogP, TPSA, hydrogen-bond donors and acceptors, rotatable bonds,</w:t>
      </w:r>
      <w:r>
        <w:t xml:space="preserve"> </w:t>
      </w:r>
      <w:r>
        <w:t xml:space="preserve">aromatic rings, fraction sp3, ring count, heavy atoms, formal charge, QED). Folding means a set bit</w:t>
      </w:r>
      <w:r>
        <w:t xml:space="preserve"> </w:t>
      </w:r>
      <w:r>
        <w:t xml:space="preserve">reports that some substructure environment hashing to that index is present, not which one, and</w:t>
      </w:r>
      <w:r>
        <w:t xml:space="preserve"> </w:t>
      </w:r>
      <w:r>
        <w:t xml:space="preserve">chirality is excluded, so two enantiomers produce byte-identical rows. Rows identical in feature</w:t>
      </w:r>
      <w:r>
        <w:t xml:space="preserve"> </w:t>
      </w:r>
      <w:r>
        <w:t xml:space="preserve">space are therefore collapsed before any split; leaving them in place would put copies of one</w:t>
      </w:r>
      <w:r>
        <w:t xml:space="preserve"> </w:t>
      </w:r>
      <w:r>
        <w:t xml:space="preserve">compound on both sides of a fold.</w:t>
      </w:r>
    </w:p>
    <w:p>
      <w:pPr>
        <w:pStyle w:val="BodyText"/>
      </w:pPr>
      <w:r>
        <w:t xml:space="preserve">For a CNS panel this exclusion needs a measured bound rather than a disclaimer. Of 228,198 training</w:t>
      </w:r>
      <w:r>
        <w:t xml:space="preserve"> </w:t>
      </w:r>
      <w:r>
        <w:t xml:space="preserve">structures, 40.8 per cent carry an assigned stereocentre, so the data could in principle support a</w:t>
      </w:r>
      <w:r>
        <w:t xml:space="preserve"> </w:t>
      </w:r>
      <w:r>
        <w:t xml:space="preserve">chirality-aware fingerprint. Where one flat skeleton appears as two or more stereoisomers measured at</w:t>
      </w:r>
      <w:r>
        <w:t xml:space="preserve"> </w:t>
      </w:r>
      <w:r>
        <w:t xml:space="preserve">the same endpoint, however, which is the only situation in which chirality has anything to resolve,</w:t>
      </w:r>
      <w:r>
        <w:t xml:space="preserve"> </w:t>
      </w:r>
      <w:r>
        <w:t xml:space="preserve">the measured labels agree in 94.6 per cent of the 8,013 such cases. Stereochemistry is therefore</w:t>
      </w:r>
      <w:r>
        <w:t xml:space="preserve"> </w:t>
      </w:r>
      <w:r>
        <w:t xml:space="preserve">mostly not what separates an active from an inactive in this data, and the share of the whole panel</w:t>
      </w:r>
      <w:r>
        <w:t xml:space="preserve"> </w:t>
      </w:r>
      <w:r>
        <w:t xml:space="preserve">where it could change a class call is 0.19 per cent. That bound is not an absolution: a quarter of</w:t>
      </w:r>
      <w:r>
        <w:t xml:space="preserve"> </w:t>
      </w:r>
      <w:r>
        <w:t xml:space="preserve">the comparable pairs differ by more than one log unit in potency, and the disagreements concentrate</w:t>
      </w:r>
      <w:r>
        <w:t xml:space="preserve"> </w:t>
      </w:r>
      <w:r>
        <w:t xml:space="preserve">where a pharmacologist would expect them, at the barrier model, BACE1, D2, OX2, the mu-opioid</w:t>
      </w:r>
      <w:r>
        <w:t xml:space="preserve"> </w:t>
      </w:r>
      <w:r>
        <w:t xml:space="preserve">receptor and CB1. Predictions are made on the flat skeleton and should be read as applying to the</w:t>
      </w:r>
      <w:r>
        <w:t xml:space="preserve"> </w:t>
      </w:r>
      <w:r>
        <w:t xml:space="preserve">racemate.</w:t>
      </w:r>
    </w:p>
    <w:p>
      <w:pPr>
        <w:pStyle w:val="BodyText"/>
      </w:pPr>
      <w:r>
        <w:t xml:space="preserve">Neutralisation is part of the representation rather than a detail of it, because a drug and its</w:t>
      </w:r>
      <w:r>
        <w:t xml:space="preserve"> </w:t>
      </w:r>
      <w:r>
        <w:t xml:space="preserve">salt are the same molecule and must give the same answer. Removing the counter-ion without it</w:t>
      </w:r>
      <w:r>
        <w:t xml:space="preserve"> </w:t>
      </w:r>
      <w:r>
        <w:t xml:space="preserve">leaves the parent carrying the charge the salt gave it, so haloperidol hydrochloride written as</w:t>
      </w:r>
      <w:r>
        <w:t xml:space="preserve"> </w:t>
      </w:r>
      <w:r>
        <w:t xml:space="preserve">public databases serve it is a different input from haloperidol: on the models this server</w:t>
      </w:r>
      <w:r>
        <w:t xml:space="preserve"> </w:t>
      </w:r>
      <w:r>
        <w:t xml:space="preserve">previously deployed it returned a barrier probability of 0.613 against 0.993, and an hERG</w:t>
      </w:r>
      <w:r>
        <w:t xml:space="preserve"> </w:t>
      </w:r>
      <w:r>
        <w:t xml:space="preserve">probability of 0.295 against 0.914, so a user who pasted the salt form lost a cardiac liability</w:t>
      </w:r>
      <w:r>
        <w:t xml:space="preserve"> </w:t>
      </w:r>
      <w:r>
        <w:t xml:space="preserve">flag on a compound that has one. Only protonation states are undone. A permanent charge is kept,</w:t>
      </w:r>
      <w:r>
        <w:t xml:space="preserve"> </w:t>
      </w:r>
      <w:r>
        <w:t xml:space="preserve">because a quaternary ammonium has no proton to lose and its charge is precisely what stops it</w:t>
      </w:r>
      <w:r>
        <w:t xml:space="preserve"> </w:t>
      </w:r>
      <w:r>
        <w:t xml:space="preserve">crossing the barrier;</w:t>
      </w:r>
      <w:r>
        <w:t xml:space="preserve"> </w:t>
      </w:r>
      <w:r>
        <w:rPr>
          <w:rStyle w:val="VerbatimChar"/>
        </w:rPr>
        <w:t xml:space="preserve">formal_charge</w:t>
      </w:r>
      <w:r>
        <w:t xml:space="preserve"> </w:t>
      </w:r>
      <w:r>
        <w:t xml:space="preserve">therefore reports permanent charge rather than how a</w:t>
      </w:r>
      <w:r>
        <w:t xml:space="preserve"> </w:t>
      </w:r>
      <w:r>
        <w:t xml:space="preserve">depositor happened to write a row. Of the 170,617 unique structures in the panel, 198 change</w:t>
      </w:r>
      <w:r>
        <w:t xml:space="preserve"> </w:t>
      </w:r>
      <w:r>
        <w:t xml:space="preserve">representation under this rule and 1,155 charged ones are correctly left alone, and the whole</w:t>
      </w:r>
      <w:r>
        <w:t xml:space="preserve"> </w:t>
      </w:r>
      <w:r>
        <w:t xml:space="preserve">panel was refitted afterwards so that training and inference share one representation.</w:t>
      </w:r>
    </w:p>
    <w:p>
      <w:pPr>
        <w:pStyle w:val="BodyText"/>
      </w:pPr>
      <w:r>
        <w:t xml:space="preserve">Five model families were compared under identical 5-fold cross-validation on both split regimes using</w:t>
      </w:r>
      <w:r>
        <w:t xml:space="preserve"> </w:t>
      </w:r>
      <w:r>
        <w:t xml:space="preserve">scikit-learn (20), on the deduplicated matrix the deployed pipeline fits. Two are baselines a</w:t>
      </w:r>
      <w:r>
        <w:t xml:space="preserve"> </w:t>
      </w:r>
      <w:r>
        <w:t xml:space="preserve">reader is entitled to demand: a five-nearest-neighbour read-across on Tanimoto similarity, which is</w:t>
      </w:r>
      <w:r>
        <w:t xml:space="preserve"> </w:t>
      </w:r>
      <w:r>
        <w:t xml:space="preserve">what a medicinal chemist does by eye, and L2-regularised logistic regression. Three are ensembles: a</w:t>
      </w:r>
      <w:r>
        <w:t xml:space="preserve"> </w:t>
      </w:r>
      <w:r>
        <w:t xml:space="preserve">random forest (21), XGBoost (22) and histogram gradient boosting. On the scaffold</w:t>
      </w:r>
      <w:r>
        <w:t xml:space="preserve"> </w:t>
      </w:r>
      <w:r>
        <w:t xml:space="preserve">split the random forest leads classification at 0.9212 mean AUROC, ahead of XGBoost (0.9156),</w:t>
      </w:r>
      <w:r>
        <w:t xml:space="preserve"> </w:t>
      </w:r>
      <w:r>
        <w:t xml:space="preserve">histogram gradient boosting (0.9149), the read-across (0.8829) and logistic regression (0.8352), and</w:t>
      </w:r>
      <w:r>
        <w:t xml:space="preserve"> </w:t>
      </w:r>
      <w:r>
        <w:t xml:space="preserve">it exceeds the read-across on all thirteen endpoints, by margins running from 0.0095 at D2 to 0.1099</w:t>
      </w:r>
      <w:r>
        <w:t xml:space="preserve"> </w:t>
      </w:r>
      <w:r>
        <w:t xml:space="preserve">on the antioxidant assay. It is best on seven of the eight classification endpoints, losing AChE to</w:t>
      </w:r>
      <w:r>
        <w:t xml:space="preserve"> </w:t>
      </w:r>
      <w:r>
        <w:t xml:space="preserve">histogram gradient boosting at 0.9148 against 0.9241. It does not lead regression at all: histogram</w:t>
      </w:r>
      <w:r>
        <w:t xml:space="preserve"> </w:t>
      </w:r>
      <w:r>
        <w:t xml:space="preserve">gradient boosting and XGBoost reach mean scaffold R² of 0.5424 and 0.5413 against 0.5190, and the</w:t>
      </w:r>
      <w:r>
        <w:t xml:space="preserve"> </w:t>
      </w:r>
      <w:r>
        <w:t xml:space="preserve">forest is best on none of the five. A random forest is nonetheless deployed everywhere, because it</w:t>
      </w:r>
      <w:r>
        <w:t xml:space="preserve"> </w:t>
      </w:r>
      <w:r>
        <w:t xml:space="preserve">leads where the principal claims are made, calibrates stably, supplies the vote distribution the</w:t>
      </w:r>
      <w:r>
        <w:t xml:space="preserve"> </w:t>
      </w:r>
      <w:r>
        <w:t xml:space="preserve">conformal layer consumes, does not extrapolate beyond the training range, and is exactly rather than</w:t>
      </w:r>
      <w:r>
        <w:t xml:space="preserve"> </w:t>
      </w:r>
      <w:r>
        <w:t xml:space="preserve">approximately explainable by TreeSHAP (23). The cost of that uniformity is 0.023 mean R² on</w:t>
      </w:r>
      <w:r>
        <w:t xml:space="preserve"> </w:t>
      </w:r>
      <w:r>
        <w:t xml:space="preserve">the potency regressions and is stated rather than left for a reader to find.</w:t>
      </w:r>
    </w:p>
    <w:bookmarkEnd w:id="13"/>
    <w:bookmarkStart w:id="14" w:name="X6ebadc4fd089f5317e68d5759e76c72c82f11ad"/>
    <w:p>
      <w:pPr>
        <w:pStyle w:val="Heading3"/>
      </w:pPr>
      <w:r>
        <w:t xml:space="preserve">Cross-validation, calibration and uncertainty</w:t>
      </w:r>
    </w:p>
    <w:p>
      <w:pPr>
        <w:pStyle w:val="FirstParagraph"/>
      </w:pPr>
      <w:r>
        <w:t xml:space="preserve">Every endpoint is cross-validated ten-fold in two regimes: a random split, and a split grouped on</w:t>
      </w:r>
      <w:r>
        <w:t xml:space="preserve"> </w:t>
      </w:r>
      <w:r>
        <w:t xml:space="preserve">Bemis-Murcko scaffolds (24) that withholds entire structural classes. The two answer</w:t>
      </w:r>
      <w:r>
        <w:t xml:space="preserve"> </w:t>
      </w:r>
      <w:r>
        <w:t xml:space="preserve">different questions, and the distance between them is the honest statement of how far a model</w:t>
      </w:r>
      <w:r>
        <w:t xml:space="preserve"> </w:t>
      </w:r>
      <w:r>
        <w:t xml:space="preserve">travels. Across 74 cross-validated estimators, spanning 70 distinct endpoints because four</w:t>
      </w:r>
      <w:r>
        <w:t xml:space="preserve"> </w:t>
      </w:r>
      <w:r>
        <w:t xml:space="preserve">receptors carry both a potency regression and a binder classifier, this is 1,480 fitted models</w:t>
      </w:r>
      <w:r>
        <w:t xml:space="preserve"> </w:t>
      </w:r>
      <w:r>
        <w:t xml:space="preserve">standing behind the deployed panel. A complete inventory of every estimator, with its prediction type, training-set size,</w:t>
      </w:r>
      <w:r>
        <w:t xml:space="preserve"> </w:t>
      </w:r>
      <w:r>
        <w:t xml:space="preserve">validation scheme, calibration and fitting date, is given in Supplementary Table S1 and regenerates</w:t>
      </w:r>
      <w:r>
        <w:t xml:space="preserve"> </w:t>
      </w:r>
      <w:r>
        <w:t xml:space="preserve">with one command.</w:t>
      </w:r>
    </w:p>
    <w:p>
      <w:pPr>
        <w:pStyle w:val="BodyText"/>
      </w:pPr>
      <w:r>
        <w:t xml:space="preserve">Classifiers are isotonically calibrated (25) on out-of-fold predictions, so no compound</w:t>
      </w:r>
      <w:r>
        <w:t xml:space="preserve"> </w:t>
      </w:r>
      <w:r>
        <w:t xml:space="preserve">contributes to the calibrator that scores it; mean expected calibration error falls from 0.0801 to</w:t>
      </w:r>
      <w:r>
        <w:t xml:space="preserve"> </w:t>
      </w:r>
      <w:r>
        <w:t xml:space="preserve">0.0147. The reported value is specific to how the calibrator is nested, and the nesting is therefore</w:t>
      </w:r>
      <w:r>
        <w:t xml:space="preserve"> </w:t>
      </w:r>
      <w:r>
        <w:t xml:space="preserve">stated: isotonic regression is fitted by five-fold</w:t>
      </w:r>
      <w:r>
        <w:t xml:space="preserve"> </w:t>
      </w:r>
      <w:r>
        <w:rPr>
          <w:rStyle w:val="VerbatimChar"/>
        </w:rPr>
        <w:t xml:space="preserve">cross_val_predict</w:t>
      </w:r>
      <w:r>
        <w:t xml:space="preserve"> </w:t>
      </w:r>
      <w:r>
        <w:t xml:space="preserve">over the pooled out-of-fold</w:t>
      </w:r>
      <w:r>
        <w:t xml:space="preserve"> </w:t>
      </w:r>
      <w:r>
        <w:t xml:space="preserve">prediction vector. Fitting it instead on the other nine folds’ out-of-fold predictions, an equally</w:t>
      </w:r>
      <w:r>
        <w:t xml:space="preserve"> </w:t>
      </w:r>
      <w:r>
        <w:t xml:space="preserve">defensible nesting, gives 0.0063 on the same data. Both are honest estimates of different</w:t>
      </w:r>
      <w:r>
        <w:t xml:space="preserve"> </w:t>
      </w:r>
      <w:r>
        <w:t xml:space="preserve">estimators, and the difference is larger than any of the calibration gains it might be used to</w:t>
      </w:r>
      <w:r>
        <w:t xml:space="preserve"> </w:t>
      </w:r>
      <w:r>
        <w:t xml:space="preserve">compare, so the protocol is reported rather than the number alone. Each prediction additionally</w:t>
      </w:r>
      <w:r>
        <w:t xml:space="preserve"> </w:t>
      </w:r>
      <w:r>
        <w:t xml:space="preserve">carries a Mondrian conformal interval, which converts the</w:t>
      </w:r>
      <w:r>
        <w:t xml:space="preserve"> </w:t>
      </w:r>
      <w:r>
        <w:t xml:space="preserve">applicability domain from a caveat into a coverage statement (26): empirical coverage is</w:t>
      </w:r>
      <w:r>
        <w:t xml:space="preserve"> </w:t>
      </w:r>
      <w:r>
        <w:t xml:space="preserve">0.889 to 0.921 against a 0.90 target. The applicability domain itself is the maximum ECFP-4 Tanimoto</w:t>
      </w:r>
      <w:r>
        <w:t xml:space="preserve"> </w:t>
      </w:r>
      <w:r>
        <w:t xml:space="preserve">similarity of the query to that endpoint’s own measured chemistry (27), reported with the</w:t>
      </w:r>
      <w:r>
        <w:t xml:space="preserve"> </w:t>
      </w:r>
      <w:r>
        <w:t xml:space="preserve">nearest measured analogue and its structure.</w:t>
      </w:r>
    </w:p>
    <w:bookmarkEnd w:id="14"/>
    <w:bookmarkStart w:id="15" w:name="X2d20a97327b1c85b3b1e259bea3569130e89bc6"/>
    <w:p>
      <w:pPr>
        <w:pStyle w:val="Heading3"/>
      </w:pPr>
      <w:r>
        <w:t xml:space="preserve">Binder classifiers, and thresholds measured where they were not set</w:t>
      </w:r>
    </w:p>
    <w:p>
      <w:pPr>
        <w:pStyle w:val="FirstParagraph"/>
      </w:pPr>
      <w:r>
        <w:t xml:space="preserve">Receptor, transporter and kinase targets are reported in ChEMBL almost entirely as actives, so a</w:t>
      </w:r>
      <w:r>
        <w:t xml:space="preserve"> </w:t>
      </w:r>
      <w:r>
        <w:t xml:space="preserve">naive potency regressor learns the training median. Each is therefore modelled as a binder</w:t>
      </w:r>
      <w:r>
        <w:t xml:space="preserve"> </w:t>
      </w:r>
      <w:r>
        <w:t xml:space="preserve">classifier: positives are measured binders, negatives are measured non-binders where they exist plus</w:t>
      </w:r>
      <w:r>
        <w:t xml:space="preserve"> </w:t>
      </w:r>
      <w:r>
        <w:t xml:space="preserve">property-matched decoys (28) with Tanimoto below 0.35 to any positive. Binder classifiers use</w:t>
      </w:r>
      <w:r>
        <w:t xml:space="preserve"> </w:t>
      </w:r>
      <w:r>
        <w:t xml:space="preserve">sigmoid calibration (29), because the withheld set for one endpoint is often too small to fit a</w:t>
      </w:r>
      <w:r>
        <w:t xml:space="preserve"> </w:t>
      </w:r>
      <w:r>
        <w:t xml:space="preserve">step function without overfitting it.</w:t>
      </w:r>
    </w:p>
    <w:p>
      <w:pPr>
        <w:pStyle w:val="BodyText"/>
      </w:pPr>
      <w:r>
        <w:t xml:space="preserve">Decoys create a specific failure. If a decision threshold is chosen as a quantile of a sample and the</w:t>
      </w:r>
      <w:r>
        <w:t xml:space="preserve"> </w:t>
      </w:r>
      <w:r>
        <w:t xml:space="preserve">false-positive rate is then computed on that same sample, the rate cannot exceed the quantile: it</w:t>
      </w:r>
      <w:r>
        <w:t xml:space="preserve"> </w:t>
      </w:r>
      <w:r>
        <w:t xml:space="preserve">restates the target instead of measuring it. The 158,890-compound background library is therefore</w:t>
      </w:r>
      <w:r>
        <w:t xml:space="preserve"> </w:t>
      </w:r>
      <w:r>
        <w:t xml:space="preserve">partitioned into three disjoint pools by a stable hash of the canonical structure, so a compound’s</w:t>
      </w:r>
      <w:r>
        <w:t xml:space="preserve"> </w:t>
      </w:r>
      <w:r>
        <w:t xml:space="preserve">pool is a property of the molecule and never depends on run order: 95,515 compounds supply decoys,</w:t>
      </w:r>
      <w:r>
        <w:t xml:space="preserve"> </w:t>
      </w:r>
      <w:r>
        <w:t xml:space="preserve">31,694 set thresholds, and 31,681 measure the false-positive rate. Measured on the pool it was not</w:t>
      </w:r>
      <w:r>
        <w:t xml:space="preserve"> </w:t>
      </w:r>
      <w:r>
        <w:t xml:space="preserve">set on, the background false-positive rate has a median of 0.0259 across the 43 deployed endpoints</w:t>
      </w:r>
      <w:r>
        <w:t xml:space="preserve"> </w:t>
      </w:r>
      <w:r>
        <w:t xml:space="preserve">that carry one, and reaches 0.0621, exceeding its 0.05 target for four endpoints, which under the</w:t>
      </w:r>
      <w:r>
        <w:t xml:space="preserve"> </w:t>
      </w:r>
      <w:r>
        <w:t xml:space="preserve">previous procedure was arithmetically impossible. That the number can now disagree with its target is the evidence that it is a measurement.</w:t>
      </w:r>
    </w:p>
    <w:bookmarkEnd w:id="15"/>
    <w:bookmarkStart w:id="16" w:name="disease-layer-and-implementation"/>
    <w:p>
      <w:pPr>
        <w:pStyle w:val="Heading3"/>
      </w:pPr>
      <w:r>
        <w:t xml:space="preserve">Disease layer and implementation</w:t>
      </w:r>
    </w:p>
    <w:p>
      <w:pPr>
        <w:pStyle w:val="FirstParagraph"/>
      </w:pPr>
      <w:r>
        <w:t xml:space="preserve">Because several training sets are active-heavy, a raw calibrated probability is not evidence of</w:t>
      </w:r>
      <w:r>
        <w:t xml:space="preserve"> </w:t>
      </w:r>
      <w:r>
        <w:t xml:space="preserve">engagement unless it exceeds the endpoint base rate; targets are therefore scored by enrichment over</w:t>
      </w:r>
      <w:r>
        <w:t xml:space="preserve"> </w:t>
      </w:r>
      <w:r>
        <w:t xml:space="preserve">that base rate. A curated, versioned graph maps each target through a pathway to the diseases it</w:t>
      </w:r>
      <w:r>
        <w:t xml:space="preserve"> </w:t>
      </w:r>
      <w:r>
        <w:t xml:space="preserve">informs, anchored to KEGG synapse and disease maps (30), the Reactome KEAP1-NFE2L2 oxidative</w:t>
      </w:r>
      <w:r>
        <w:t xml:space="preserve"> </w:t>
      </w:r>
      <w:r>
        <w:t xml:space="preserve">stress response (31) and IUPHAR/BPS Guide to Pharmacology associations (32). A</w:t>
      </w:r>
      <w:r>
        <w:t xml:space="preserve"> </w:t>
      </w:r>
      <w:r>
        <w:t xml:space="preserve">disease score is the strongest engaged target for that disease scaled by predicted barrier</w:t>
      </w:r>
      <w:r>
        <w:t xml:space="preserve"> </w:t>
      </w:r>
      <w:r>
        <w:t xml:space="preserve">penetration; taking the strongest rather than an average prevents unrelated mechanisms from diluting</w:t>
      </w:r>
      <w:r>
        <w:t xml:space="preserve"> </w:t>
      </w:r>
      <w:r>
        <w:t xml:space="preserve">a real signal.</w:t>
      </w:r>
    </w:p>
    <w:p>
      <w:pPr>
        <w:pStyle w:val="BodyText"/>
      </w:pPr>
      <w:r>
        <w:t xml:space="preserve">The server is a single-page application built with Streamlit (33) and RDKit (34),</w:t>
      </w:r>
      <w:r>
        <w:t xml:space="preserve"> </w:t>
      </w:r>
      <w:r>
        <w:t xml:space="preserve">accepting a SMILES string or a compound name resolved through PubChem. Models are loaded once and</w:t>
      </w:r>
      <w:r>
        <w:t xml:space="preserve"> </w:t>
      </w:r>
      <w:r>
        <w:t xml:space="preserve">cached; a complete profile across all 70 deployed estimators, including both applicability-domain</w:t>
      </w:r>
      <w:r>
        <w:t xml:space="preserve"> </w:t>
      </w:r>
      <w:r>
        <w:t xml:space="preserve">calculations against the 158,890-compound reference library, returns in a few seconds on one CPU</w:t>
      </w:r>
      <w:r>
        <w:t xml:space="preserve"> </w:t>
      </w:r>
      <w:r>
        <w:t xml:space="preserve">core. No registration is required and sample compounds are provided.</w:t>
      </w:r>
    </w:p>
    <w:p>
      <w:r>
        <w:pict>
          <v:rect style="width:0;height:1.5pt" o:hralign="center" o:hrstd="t" o:hr="t"/>
        </w:pict>
      </w:r>
    </w:p>
    <w:bookmarkEnd w:id="16"/>
    <w:bookmarkEnd w:id="17"/>
    <w:bookmarkStart w:id="24" w:name="results"/>
    <w:p>
      <w:pPr>
        <w:pStyle w:val="Heading2"/>
      </w:pPr>
      <w:r>
        <w:t xml:space="preserve">Results</w:t>
      </w:r>
    </w:p>
    <w:p>
      <w:pPr>
        <w:pStyle w:val="FirstParagraph"/>
      </w:pPr>
      <w:r>
        <w:t xml:space="preserve">The server’s primary output is mechanism: which targets a compound engages, with what confidence,</w:t>
      </w:r>
      <w:r>
        <w:t xml:space="preserve"> </w:t>
      </w:r>
      <w:r>
        <w:t xml:space="preserve">and whether it reaches them. That is where the evidence is strongest, and the results are presented</w:t>
      </w:r>
      <w:r>
        <w:t xml:space="preserve"> </w:t>
      </w:r>
      <w:r>
        <w:t xml:space="preserve">in that order. The disease layer is a navigational aid built on top of the mechanism call, and its</w:t>
      </w:r>
      <w:r>
        <w:t xml:space="preserve"> </w:t>
      </w:r>
      <w:r>
        <w:t xml:space="preserve">weaknesses are reported in their own section rather than folded into the headline.</w:t>
      </w:r>
    </w:p>
    <w:bookmarkStart w:id="18" w:name="target-engagement-the-primary-output"/>
    <w:p>
      <w:pPr>
        <w:pStyle w:val="Heading3"/>
      </w:pPr>
      <w:r>
        <w:t xml:space="preserve">Target engagement, the primary output</w:t>
      </w:r>
    </w:p>
    <w:p>
      <w:pPr>
        <w:pStyle w:val="FirstParagraph"/>
      </w:pPr>
      <w:r>
        <w:t xml:space="preserve">The 52 binder classifiers are validated not against the decoys used to train them but against</w:t>
      </w:r>
      <w:r>
        <w:t xml:space="preserve"> </w:t>
      </w:r>
      <w:r>
        <w:t xml:space="preserve">compounds experimentally tested at the same target and found inactive. Across the 47 that are</w:t>
      </w:r>
      <w:r>
        <w:t xml:space="preserve"> </w:t>
      </w:r>
      <w:r>
        <w:t xml:space="preserve">deployed they reach a mean AUROC of 0.917 and a mean sensitivity of 0.764, both measured on actives</w:t>
      </w:r>
      <w:r>
        <w:t xml:space="preserve"> </w:t>
      </w:r>
      <w:r>
        <w:t xml:space="preserve">withheld by scaffold, at thresholds constrained simultaneously by held-out measured inactives and by</w:t>
      </w:r>
      <w:r>
        <w:t xml:space="preserve"> </w:t>
      </w:r>
      <w:r>
        <w:t xml:space="preserve">the false-positive rate on a disjoint pool of unrelated chemistry. Both figures are means over 47</w:t>
      </w:r>
      <w:r>
        <w:t xml:space="preserve"> </w:t>
      </w:r>
      <w:r>
        <w:t xml:space="preserve">endpoints and the spread behind them is wide: AUROC ranges from 0.719 at GABA-A to 0.985 at CGRP,</w:t>
      </w:r>
      <w:r>
        <w:t xml:space="preserve"> </w:t>
      </w:r>
      <w:r>
        <w:t xml:space="preserve">and sensitivity from 0.303 at GABA-A to 0.993 at CGRP with a median of 0.835, so the two means</w:t>
      </w:r>
      <w:r>
        <w:t xml:space="preserve"> </w:t>
      </w:r>
      <w:r>
        <w:t xml:space="preserve">describe the panel and not any particular endpoint. Supplementary Table S1 gives every endpoint</w:t>
      </w:r>
      <w:r>
        <w:t xml:space="preserve"> </w:t>
      </w:r>
      <w:r>
        <w:t xml:space="preserve">separately.</w:t>
      </w:r>
    </w:p>
    <w:p>
      <w:pPr>
        <w:pStyle w:val="BodyText"/>
      </w:pPr>
      <w:r>
        <w:t xml:space="preserve">The sensitivity figure carries a correction we report rather than leave for a reader to find. Four</w:t>
      </w:r>
      <w:r>
        <w:t xml:space="preserve"> </w:t>
      </w:r>
      <w:r>
        <w:t xml:space="preserve">scripts write this field in sequence, and the last of them scored every active in the endpoint table,</w:t>
      </w:r>
      <w:r>
        <w:t xml:space="preserve"> </w:t>
      </w:r>
      <w:r>
        <w:t xml:space="preserve">roughly four fifths of which the model had been fitted on, while leaving the field’s own basis</w:t>
      </w:r>
      <w:r>
        <w:t xml:space="preserve"> </w:t>
      </w:r>
      <w:r>
        <w:t xml:space="preserve">annotation reading that the measurement was held out. The panel mean was therefore published as 0.898</w:t>
      </w:r>
      <w:r>
        <w:t xml:space="preserve"> </w:t>
      </w:r>
      <w:r>
        <w:t xml:space="preserve">against a held-out 0.764, an inflation of 0.134, with nothing in the record disagreeing with anything</w:t>
      </w:r>
      <w:r>
        <w:t xml:space="preserve"> </w:t>
      </w:r>
      <w:r>
        <w:t xml:space="preserve">else. The scoring script now reads the scaffold-held-out partition and declares its basis when it</w:t>
      </w:r>
      <w:r>
        <w:t xml:space="preserve"> </w:t>
      </w:r>
      <w:r>
        <w:t xml:space="preserve">cannot, the registry has been recomputed from that partition and agrees with the threshold table on</w:t>
      </w:r>
      <w:r>
        <w:t xml:space="preserve"> </w:t>
      </w:r>
      <w:r>
        <w:t xml:space="preserve">all 47 deployed endpoints, and a regression test fails if any deployed endpoint reports sensitivity</w:t>
      </w:r>
      <w:r>
        <w:t xml:space="preserve"> </w:t>
      </w:r>
      <w:r>
        <w:t xml:space="preserve">on an undeclared basis. Six endpoints fall below the reliability gate on the corrected figure, against</w:t>
      </w:r>
      <w:r>
        <w:t xml:space="preserve"> </w:t>
      </w:r>
      <w:r>
        <w:t xml:space="preserve">one before: COX-2, GABA-A, GluN2B, P2X7, SIRT1 and TAAR1. They remain deployed, because each holds</w:t>
      </w:r>
      <w:r>
        <w:t xml:space="preserve"> </w:t>
      </w:r>
      <w:r>
        <w:t xml:space="preserve">its background false-positive rate at or below target and is therefore weak rather than misleading,</w:t>
      </w:r>
      <w:r>
        <w:t xml:space="preserve"> </w:t>
      </w:r>
      <w:r>
        <w:t xml:space="preserve">and the interface marks a negative call from any of them as low-powered.</w:t>
      </w:r>
    </w:p>
    <w:p>
      <w:pPr>
        <w:pStyle w:val="BodyText"/>
      </w:pPr>
      <w:r>
        <w:t xml:space="preserve">Five endpoints are withdrawn outright: Nav1.1 and GluA2</w:t>
      </w:r>
      <w:r>
        <w:t xml:space="preserve"> </w:t>
      </w:r>
      <w:r>
        <w:t xml:space="preserve">for firing on trivial metabolites at every usable threshold, and three added to test</w:t>
      </w:r>
      <w:r>
        <w:t xml:space="preserve"> </w:t>
      </w:r>
      <w:r>
        <w:t xml:space="preserve">natural-product coverage, reported in the limitations. Withdrawal is re-derived whenever the panel</w:t>
      </w:r>
      <w:r>
        <w:t xml:space="preserve"> </w:t>
      </w:r>
      <w:r>
        <w:t xml:space="preserve">is refitted rather than carried forward, because it is a claim about a particular fit: when the</w:t>
      </w:r>
      <w:r>
        <w:t xml:space="preserve"> </w:t>
      </w:r>
      <w:r>
        <w:t xml:space="preserve">panel was retrained, Cav3.2 stopped failing and was reinstated while GluA2 began failing and was</w:t>
      </w:r>
      <w:r>
        <w:t xml:space="preserve"> </w:t>
      </w:r>
      <w:r>
        <w:t xml:space="preserve">withdrawn. Measured on that disjoint pool the background</w:t>
      </w:r>
      <w:r>
        <w:t xml:space="preserve"> </w:t>
      </w:r>
      <w:r>
        <w:t xml:space="preserve">false-positive rate has a median of 0.0259.</w:t>
      </w:r>
    </w:p>
    <w:p>
      <w:pPr>
        <w:pStyle w:val="BodyText"/>
      </w:pPr>
      <w:r>
        <w:t xml:space="preserve">The eight measured-label classifiers reach a mean AUROC of 0.958 under the random split and 0.925</w:t>
      </w:r>
      <w:r>
        <w:t xml:space="preserve"> </w:t>
      </w:r>
      <w:r>
        <w:t xml:space="preserve">under the scaffold split. BACE1 is most robust to chemotype change, losing 0.012 between</w:t>
      </w:r>
      <w:r>
        <w:t xml:space="preserve"> </w:t>
      </w:r>
      <w:r>
        <w:t xml:space="preserve">splits, and MAO-A least, losing 0.056. The four receptor potency regressions reach R² 0.64 to 0.72</w:t>
      </w:r>
      <w:r>
        <w:t xml:space="preserve"> </w:t>
      </w:r>
      <w:r>
        <w:t xml:space="preserve">(random) and 0.46 to 0.62 (scaffold).</w:t>
      </w:r>
    </w:p>
    <w:p>
      <w:pPr>
        <w:pStyle w:val="BodyText"/>
      </w:pPr>
      <w:r>
        <w:t xml:space="preserve">The mechanism call is correct where it can be checked against pharmacology that is not in dispute.</w:t>
      </w:r>
      <w:r>
        <w:t xml:space="preserve"> </w:t>
      </w:r>
      <w:r>
        <w:t xml:space="preserve">For donepezil, haloperidol, morphine and fluoxetine the server names acetylcholinesterase, D2, the</w:t>
      </w:r>
      <w:r>
        <w:t xml:space="preserve"> </w:t>
      </w:r>
      <w:r>
        <w:t xml:space="preserve">mu-opioid receptor and the serotonin transporter respectively as the driving target (Figure 4A).</w:t>
      </w:r>
      <w:r>
        <w:t xml:space="preserve"> </w:t>
      </w:r>
      <w:r>
        <w:t xml:space="preserve">Attribution supports the same conclusion from a different direction: SHAP values computed with</w:t>
      </w:r>
      <w:r>
        <w:t xml:space="preserve"> </w:t>
      </w:r>
      <w:r>
        <w:t xml:space="preserve">TreeExplainer (23), which is exact for a random forest rather than an approximation, recover</w:t>
      </w:r>
      <w:r>
        <w:t xml:space="preserve"> </w:t>
      </w:r>
      <w:r>
        <w:t xml:space="preserve">known physicochemistry that was never supplied to the models. For the barrier model, larger TPSA,</w:t>
      </w:r>
      <w:r>
        <w:t xml:space="preserve"> </w:t>
      </w:r>
      <w:r>
        <w:t xml:space="preserve">molecular weight and hydrogen-bond donor count all push away from penetration (Spearman correlation</w:t>
      </w:r>
      <w:r>
        <w:t xml:space="preserve"> </w:t>
      </w:r>
      <w:r>
        <w:t xml:space="preserve">between feature value and SHAP value of -0.93, -0.95 and -0.90) while drug-likeness pushes towards it</w:t>
      </w:r>
      <w:r>
        <w:t xml:space="preserve"> </w:t>
      </w:r>
      <w:r>
        <w:t xml:space="preserve">(+0.93); for hERG, lipophilicity pushes towards blockade (+0.95).</w:t>
      </w:r>
    </w:p>
    <w:p>
      <w:pPr>
        <w:pStyle w:val="BodyText"/>
      </w:pPr>
      <w:r>
        <w:t xml:space="preserve">An independent reproduction re-ran the entire cross-validation from the endpoint tables and scored it</w:t>
      </w:r>
      <w:r>
        <w:t xml:space="preserve"> </w:t>
      </w:r>
      <w:r>
        <w:t xml:space="preserve">with separately written metric code. All 26 core values reproduced exactly, with a maximum deviation</w:t>
      </w:r>
      <w:r>
        <w:t xml:space="preserve"> </w:t>
      </w:r>
      <w:r>
        <w:t xml:space="preserve">of 4.7 x 10⁻⁵, attributable to rounding in the stored summary.</w:t>
      </w:r>
    </w:p>
    <w:bookmarkEnd w:id="18"/>
    <w:bookmarkStart w:id="19" w:name="X59ce100e3e54d3fbb6a4c93443ea005339d865d"/>
    <w:p>
      <w:pPr>
        <w:pStyle w:val="Heading3"/>
      </w:pPr>
      <w:r>
        <w:t xml:space="preserve">The validations that a cross-validated score cannot replace</w:t>
      </w:r>
    </w:p>
    <w:p>
      <w:pPr>
        <w:pStyle w:val="FirstParagraph"/>
      </w:pPr>
      <w:r>
        <w:rPr>
          <w:b/>
          <w:bCs/>
        </w:rPr>
        <w:t xml:space="preserve">Leakage.</w:t>
      </w:r>
      <w:r>
        <w:t xml:space="preserve"> </w:t>
      </w:r>
      <w:r>
        <w:t xml:space="preserve">Folds were rebuilt and the index sets interrogated directly. On the deduplicated matrix</w:t>
      </w:r>
      <w:r>
        <w:t xml:space="preserve"> </w:t>
      </w:r>
      <w:r>
        <w:t xml:space="preserve">the pipeline fits, no InChIKey, no feature vector and no scaffold appears on both sides of any fold.</w:t>
      </w:r>
      <w:r>
        <w:t xml:space="preserve"> </w:t>
      </w:r>
      <w:r>
        <w:t xml:space="preserve">On the raw table the feature-vector overlap reaches 544, which is precisely what deduplication</w:t>
      </w:r>
      <w:r>
        <w:t xml:space="preserve"> </w:t>
      </w:r>
      <w:r>
        <w:t xml:space="preserve">removes.</w:t>
      </w:r>
    </w:p>
    <w:p>
      <w:pPr>
        <w:pStyle w:val="BodyText"/>
      </w:pPr>
      <w:r>
        <w:rPr>
          <w:b/>
          <w:bCs/>
        </w:rPr>
        <w:t xml:space="preserve">Null models.</w:t>
      </w:r>
      <w:r>
        <w:t xml:space="preserve"> </w:t>
      </w:r>
      <w:r>
        <w:t xml:space="preserve">With labels permuted, the same pipeline on the same folds returns a mean AUROC of</w:t>
      </w:r>
      <w:r>
        <w:t xml:space="preserve"> </w:t>
      </w:r>
      <w:r>
        <w:t xml:space="preserve">0.4938 (random) and 0.4921 (scaffold), with a worst single endpoint of 0.5174. Whole scaffold classes</w:t>
      </w:r>
      <w:r>
        <w:t xml:space="preserve"> </w:t>
      </w:r>
      <w:r>
        <w:t xml:space="preserve">do not carry enough class-frequency information for a label-free model to beat chance, so the</w:t>
      </w:r>
      <w:r>
        <w:t xml:space="preserve"> </w:t>
      </w:r>
      <w:r>
        <w:t xml:space="preserve">scaffold figures are not inflated by that route.</w:t>
      </w:r>
    </w:p>
    <w:p>
      <w:pPr>
        <w:pStyle w:val="BodyText"/>
      </w:pPr>
      <w:r>
        <w:rPr>
          <w:b/>
          <w:bCs/>
        </w:rPr>
        <w:t xml:space="preserve">Prospective sensitivity.</w:t>
      </w:r>
      <w:r>
        <w:t xml:space="preserve"> </w:t>
      </w:r>
      <w:r>
        <w:t xml:space="preserve">Whole scaffold classes were withheld before training. Pooled recall on</w:t>
      </w:r>
      <w:r>
        <w:t xml:space="preserve"> </w:t>
      </w:r>
      <w:r>
        <w:t xml:space="preserve">them is 0.803 (95% CI 0.797 to 0.809), with a per-target median of 0.815 across the 39 targets whose</w:t>
      </w:r>
      <w:r>
        <w:t xml:space="preserve"> </w:t>
      </w:r>
      <w:r>
        <w:t xml:space="preserve">decision threshold did not collapse (Figure 3B). Targets are excluded only for a degenerate</w:t>
      </w:r>
      <w:r>
        <w:t xml:space="preserve"> </w:t>
      </w:r>
      <w:r>
        <w:t xml:space="preserve">threshold, never for a poor recall.</w:t>
      </w:r>
    </w:p>
    <w:p>
      <w:pPr>
        <w:pStyle w:val="BodyText"/>
      </w:pPr>
      <w:r>
        <w:rPr>
          <w:b/>
          <w:bCs/>
        </w:rPr>
        <w:t xml:space="preserve">External validation.</w:t>
      </w:r>
      <w:r>
        <w:t xml:space="preserve"> </w:t>
      </w:r>
      <w:r>
        <w:t xml:space="preserve">The barrier model was tested on FDA-curated approved drugs absent from B3DB</w:t>
      </w:r>
      <w:r>
        <w:t xml:space="preserve"> </w:t>
      </w:r>
      <w:r>
        <w:t xml:space="preserve">by InChIKey: AUROC 0.764 on all 306, and 0.793 on the 241 that are also distinguishable from the</w:t>
      </w:r>
      <w:r>
        <w:t xml:space="preserve"> </w:t>
      </w:r>
      <w:r>
        <w:t xml:space="preserve">training set in feature space, which is the subset that supports an external claim (Figure 3C). The</w:t>
      </w:r>
      <w:r>
        <w:t xml:space="preserve"> </w:t>
      </w:r>
      <w:r>
        <w:t xml:space="preserve">65 excluded by that second criterion are feature-identical to a training compound and score 0.710,</w:t>
      </w:r>
      <w:r>
        <w:t xml:space="preserve"> </w:t>
      </w:r>
      <w:r>
        <w:t xml:space="preserve">which is the size of the memorisation the first figure contains.</w:t>
      </w:r>
    </w:p>
    <w:p>
      <w:pPr>
        <w:pStyle w:val="BodyText"/>
      </w:pPr>
      <w:r>
        <w:t xml:space="preserve">For the target panel no external set of comparable size exists, because for most of these targets the</w:t>
      </w:r>
      <w:r>
        <w:t xml:space="preserve"> </w:t>
      </w:r>
      <w:r>
        <w:t xml:space="preserve">public measured chemistry</w:t>
      </w:r>
      <w:r>
        <w:t xml:space="preserve"> </w:t>
      </w:r>
      <w:r>
        <w:rPr>
          <w:i/>
          <w:iCs/>
        </w:rPr>
        <w:t xml:space="preserve">is</w:t>
      </w:r>
      <w:r>
        <w:t xml:space="preserve"> </w:t>
      </w:r>
      <w:r>
        <w:t xml:space="preserve">the training set. Two kinds of independence were therefore constructed</w:t>
      </w:r>
      <w:r>
        <w:t xml:space="preserve"> </w:t>
      </w:r>
      <w:r>
        <w:t xml:space="preserve">from the data that does exist, with every model refitted rather than scored, since the deployed models</w:t>
      </w:r>
      <w:r>
        <w:t xml:space="preserve"> </w:t>
      </w:r>
      <w:r>
        <w:t xml:space="preserve">were fitted on all of it (Figure 5).</w:t>
      </w:r>
      <w:r>
        <w:t xml:space="preserve"> </w:t>
      </w:r>
      <w:r>
        <w:rPr>
          <w:b/>
          <w:bCs/>
        </w:rPr>
        <w:t xml:space="preserve">By date:</w:t>
      </w:r>
      <w:r>
        <w:t xml:space="preserve"> </w:t>
      </w:r>
      <w:r>
        <w:t xml:space="preserve">each endpoint was refitted on its pre-cutoff rows</w:t>
      </w:r>
      <w:r>
        <w:t xml:space="preserve"> </w:t>
      </w:r>
      <w:r>
        <w:t xml:space="preserve">alone, with its decision threshold also frozen before the cutoff, and tested on compounds first</w:t>
      </w:r>
      <w:r>
        <w:t xml:space="preserve"> </w:t>
      </w:r>
      <w:r>
        <w:t xml:space="preserve">published afterwards; 39 of the 47 deployed endpoints carry enough dated chemistry on both sides of</w:t>
      </w:r>
      <w:r>
        <w:t xml:space="preserve"> </w:t>
      </w:r>
      <w:r>
        <w:t xml:space="preserve">the wall, giving 45,244 test compounds. Each was refitted a second time on a size-matched random</w:t>
      </w:r>
      <w:r>
        <w:t xml:space="preserve"> </w:t>
      </w:r>
      <w:r>
        <w:t xml:space="preserve">split, because a time split trains on less data as well as none of the future.</w:t>
      </w:r>
      <w:r>
        <w:t xml:space="preserve"> </w:t>
      </w:r>
      <w:r>
        <w:rPr>
          <w:b/>
          <w:bCs/>
        </w:rPr>
        <w:t xml:space="preserve">By curator:</w:t>
      </w:r>
      <w:r>
        <w:t xml:space="preserve"> </w:t>
      </w:r>
      <w:r>
        <w:t xml:space="preserve">compounds deposited in BindingDB and absent from ChEMBL were withheld entirely and the panel refitted</w:t>
      </w:r>
      <w:r>
        <w:t xml:space="preserve"> </w:t>
      </w:r>
      <w:r>
        <w:t xml:space="preserve">on the ChEMBL side, which is available for three endpoints at 1,303 actives.</w:t>
      </w:r>
    </w:p>
    <w:p>
      <w:pPr>
        <w:pStyle w:val="BodyText"/>
      </w:pPr>
      <w:r>
        <w:t xml:space="preserve">Read in aggregate the time split looks like prospective decay: mean AUROC 0.823 against 0.951 for the</w:t>
      </w:r>
      <w:r>
        <w:t xml:space="preserve"> </w:t>
      </w:r>
      <w:r>
        <w:t xml:space="preserve">size-matched random control, and mean sensitivity 0.489 against 0.872. It is not decay. The</w:t>
      </w:r>
      <w:r>
        <w:t xml:space="preserve"> </w:t>
      </w:r>
      <w:r>
        <w:t xml:space="preserve">false-positive rate on background chemistry is unchanged (0.037 against 0.038), and the gap closes</w:t>
      </w:r>
      <w:r>
        <w:t xml:space="preserve"> </w:t>
      </w:r>
      <w:r>
        <w:t xml:space="preserve">once test compounds are stratified by maximum Tanimoto similarity to the training actives. A random</w:t>
      </w:r>
      <w:r>
        <w:t xml:space="preserve"> </w:t>
      </w:r>
      <w:r>
        <w:t xml:space="preserve">split of medicinal-chemistry data holds out 83 per cent close analogues of its own training set,</w:t>
      </w:r>
      <w:r>
        <w:t xml:space="preserve"> </w:t>
      </w:r>
      <w:r>
        <w:t xml:space="preserve">because the published record is series; a time split holds out 28 per cent chemistry below Tanimoto</w:t>
      </w:r>
      <w:r>
        <w:t xml:space="preserve"> </w:t>
      </w:r>
      <w:r>
        <w:t xml:space="preserve">0.40. Within a novelty band the two splits differ by at most 0.081 in AUROC and 0.071 in recall</w:t>
      </w:r>
      <w:r>
        <w:t xml:space="preserve"> </w:t>
      </w:r>
      <w:r>
        <w:t xml:space="preserve">against aggregate gaps of 0.128 and 0.383. Three test sets built by unrelated rules, withheld by</w:t>
      </w:r>
      <w:r>
        <w:t xml:space="preserve"> </w:t>
      </w:r>
      <w:r>
        <w:t xml:space="preserve">date, at random, and by curator, trace one recall curve: 0.16, 0.55, 0.74 and 0.86 by date across the</w:t>
      </w:r>
      <w:r>
        <w:t xml:space="preserve"> </w:t>
      </w:r>
      <w:r>
        <w:t xml:space="preserve">four bands, against 0.12, 0.52, 0.77 and 0.93 at random and 0.05, 0.46, 0.83 and 0.90 by curator</w:t>
      </w:r>
      <w:r>
        <w:t xml:space="preserve"> </w:t>
      </w:r>
      <w:r>
        <w:t xml:space="preserve">(Figure 5D).</w:t>
      </w:r>
    </w:p>
    <w:p>
      <w:pPr>
        <w:pStyle w:val="BodyText"/>
      </w:pPr>
      <w:r>
        <w:t xml:space="preserve">Recall is therefore a function of chemical distance rather than of publication date, which has three</w:t>
      </w:r>
      <w:r>
        <w:t xml:space="preserve"> </w:t>
      </w:r>
      <w:r>
        <w:t xml:space="preserve">consequences. The reported scores do not expire. The deployed sensitivity describes a held-out</w:t>
      </w:r>
      <w:r>
        <w:t xml:space="preserve"> </w:t>
      </w:r>
      <w:r>
        <w:t xml:space="preserve">population that is mostly close analogues, so it overstates what a novel scaffold should expect. And</w:t>
      </w:r>
      <w:r>
        <w:t xml:space="preserve"> </w:t>
      </w:r>
      <w:r>
        <w:t xml:space="preserve">the expected recall for a submitted compound is knowable at query time from a quantity the server</w:t>
      </w:r>
      <w:r>
        <w:t xml:space="preserve"> </w:t>
      </w:r>
      <w:r>
        <w:t xml:space="preserve">already computes and displays, which is how the interface now reports it. On genuinely distant</w:t>
      </w:r>
      <w:r>
        <w:t xml:space="preserve"> </w:t>
      </w:r>
      <w:r>
        <w:t xml:space="preserve">chemistry that expectation is poor in absolute terms, near 0.16, and the finding is that the poor</w:t>
      </w:r>
      <w:r>
        <w:t xml:space="preserve"> </w:t>
      </w:r>
      <w:r>
        <w:t xml:space="preserve">number is predictable rather than that it is better than it appeared.</w:t>
      </w:r>
    </w:p>
    <w:p>
      <w:pPr>
        <w:pStyle w:val="BodyText"/>
      </w:pPr>
      <w:r>
        <w:rPr>
          <w:b/>
          <w:bCs/>
        </w:rPr>
        <w:t xml:space="preserve">Specificity.</w:t>
      </w:r>
      <w:r>
        <w:t xml:space="preserve"> </w:t>
      </w:r>
      <w:r>
        <w:t xml:space="preserve">One thousand compounds carrying no recorded activity at any modelled target were</w:t>
      </w:r>
      <w:r>
        <w:t xml:space="preserve"> </w:t>
      </w:r>
      <w:r>
        <w:t xml:space="preserve">scored through the deployed pipeline. 949 returned no actionable disease signal, a specificity of</w:t>
      </w:r>
      <w:r>
        <w:t xml:space="preserve"> </w:t>
      </w:r>
      <w:r>
        <w:t xml:space="preserve">0.949 (95% CI 0.934 to 0.961). Of the 51 false positives, 28 fired on a single condition rather than</w:t>
      </w:r>
      <w:r>
        <w:t xml:space="preserve"> </w:t>
      </w:r>
      <w:r>
        <w:t xml:space="preserve">producing a diffuse profile, and the median score among them was 0.448, only modestly above the</w:t>
      </w:r>
      <w:r>
        <w:t xml:space="preserve"> </w:t>
      </w:r>
      <w:r>
        <w:t xml:space="preserve">actionable threshold. These compounds are presumed inactive because nothing is recorded, not proven</w:t>
      </w:r>
      <w:r>
        <w:t xml:space="preserve"> </w:t>
      </w:r>
      <w:r>
        <w:t xml:space="preserve">inactive, so this is a lower bound.</w:t>
      </w:r>
    </w:p>
    <w:p>
      <w:pPr>
        <w:pStyle w:val="BodyText"/>
      </w:pPr>
      <w:r>
        <w:rPr>
          <w:b/>
          <w:bCs/>
        </w:rPr>
        <w:t xml:space="preserve">Adversarial checks.</w:t>
      </w:r>
      <w:r>
        <w:t xml:space="preserve"> </w:t>
      </w:r>
      <w:r>
        <w:t xml:space="preserve">Six checks were written so that each could fail, and all six pass, including</w:t>
      </w:r>
      <w:r>
        <w:t xml:space="preserve"> </w:t>
      </w:r>
      <w:r>
        <w:t xml:space="preserve">exact reproducibility of a retrained endpoint. The domain-flag check initially failed and passes only</w:t>
      </w:r>
      <w:r>
        <w:t xml:space="preserve"> </w:t>
      </w:r>
      <w:r>
        <w:t xml:space="preserve">after its control set was corrected: 28 of the original controls are measured compounds inside the</w:t>
      </w:r>
      <w:r>
        <w:t xml:space="preserve"> </w:t>
      </w:r>
      <w:r>
        <w:t xml:space="preserve">flag’s own reference library, where calling them in domain is the truthful answer rather than a</w:t>
      </w:r>
      <w:r>
        <w:t xml:space="preserve"> </w:t>
      </w:r>
      <w:r>
        <w:t xml:space="preserve">failure. The passing criterion was not moved. Against chemistry genuinely absent from the reference</w:t>
      </w:r>
      <w:r>
        <w:t xml:space="preserve"> </w:t>
      </w:r>
      <w:r>
        <w:t xml:space="preserve">the flag separates at median maximum similarity 0.47 against 0.59 for unseen drugs (n = 25,</w:t>
      </w:r>
      <w:r>
        <w:t xml:space="preserve"> </w:t>
      </w:r>
      <w:r>
        <w:t xml:space="preserve">p = 1.1e-03), which is a weak signal and is described as one.</w:t>
      </w:r>
    </w:p>
    <w:p>
      <w:pPr>
        <w:pStyle w:val="BodyText"/>
      </w:pPr>
      <w:r>
        <w:rPr>
          <w:b/>
          <w:bCs/>
        </w:rPr>
        <w:t xml:space="preserve">Attribution.</w:t>
      </w:r>
      <w:r>
        <w:t xml:space="preserve"> </w:t>
      </w:r>
      <w:r>
        <w:t xml:space="preserve">SHAP attributions computed with TreeExplainer (23), which is exact for a</w:t>
      </w:r>
      <w:r>
        <w:t xml:space="preserve"> </w:t>
      </w:r>
      <w:r>
        <w:t xml:space="preserve">random forest rather than an approximation, over the deployed classifiers recover known</w:t>
      </w:r>
      <w:r>
        <w:t xml:space="preserve"> </w:t>
      </w:r>
      <w:r>
        <w:t xml:space="preserve">physicochemistry rather than artefacts. For the barrier model, larger TPSA, molecular weight and</w:t>
      </w:r>
      <w:r>
        <w:t xml:space="preserve"> </w:t>
      </w:r>
      <w:r>
        <w:t xml:space="preserve">hydrogen-bond donor count all push away from penetration (Spearman correlation between feature value</w:t>
      </w:r>
      <w:r>
        <w:t xml:space="preserve"> </w:t>
      </w:r>
      <w:r>
        <w:t xml:space="preserve">and SHAP value of -0.93, -0.95 and -0.90) while drug-likeness pushes towards it (+0.93); for hERG,</w:t>
      </w:r>
      <w:r>
        <w:t xml:space="preserve"> </w:t>
      </w:r>
      <w:r>
        <w:t xml:space="preserve">lipophilicity pushes towards blockade (+0.95). These directions were not supplied to the models.</w:t>
      </w:r>
    </w:p>
    <w:bookmarkEnd w:id="19"/>
    <w:bookmarkStart w:id="20" w:name="comparison-with-existing-approaches"/>
    <w:p>
      <w:pPr>
        <w:pStyle w:val="Heading3"/>
      </w:pPr>
      <w:r>
        <w:t xml:space="preserve">Comparison with existing approaches</w:t>
      </w:r>
    </w:p>
    <w:p>
      <w:pPr>
        <w:pStyle w:val="FirstParagraph"/>
      </w:pPr>
      <w:r>
        <w:t xml:space="preserve">Against the read-across baseline that represents what a chemist does by eye, the deployed random</w:t>
      </w:r>
      <w:r>
        <w:t xml:space="preserve"> </w:t>
      </w:r>
      <w:r>
        <w:t xml:space="preserve">forest is better on all thirteen endpoints where the two were compared, on the scaffold split. The</w:t>
      </w:r>
      <w:r>
        <w:t xml:space="preserve"> </w:t>
      </w:r>
      <w:r>
        <w:t xml:space="preserve">margin is quoted per metric rather than pooled, because eight of those endpoints are scored by</w:t>
      </w:r>
      <w:r>
        <w:t xml:space="preserve"> </w:t>
      </w:r>
      <w:r>
        <w:t xml:space="preserve">AUROC and five by R-squared: the mean gain is 0.038 AUROC over the eight classifiers and 0.045</w:t>
      </w:r>
      <w:r>
        <w:t xml:space="preserve"> </w:t>
      </w:r>
      <w:r>
        <w:t xml:space="preserve">R-squared over the five potency regressions. Against property-based CNS scoring (6), which addresses exposure only, BrainSafe AI</w:t>
      </w:r>
      <w:r>
        <w:t xml:space="preserve"> </w:t>
      </w:r>
      <w:r>
        <w:t xml:space="preserve">adds mechanism and liability but is not a replacement for expert medicinal-chemistry judgement on</w:t>
      </w:r>
      <w:r>
        <w:t xml:space="preserve"> </w:t>
      </w:r>
      <w:r>
        <w:t xml:space="preserve">either axis. Against single-endpoint QSAR servers, the difference is the gating: a target score here</w:t>
      </w:r>
      <w:r>
        <w:t xml:space="preserve"> </w:t>
      </w:r>
      <w:r>
        <w:t xml:space="preserve">is admitted only in proportion to predicted exposure, so a potent binder that does not reach the</w:t>
      </w:r>
      <w:r>
        <w:t xml:space="preserve"> </w:t>
      </w:r>
      <w:r>
        <w:t xml:space="preserve">brain is reported as such rather than as a hit. We are not aware of another freely available server</w:t>
      </w:r>
      <w:r>
        <w:t xml:space="preserve"> </w:t>
      </w:r>
      <w:r>
        <w:t xml:space="preserve">that returns exposure-gated, calibrated, mechanism-resolved profiles across this many CNS endpoints</w:t>
      </w:r>
      <w:r>
        <w:t xml:space="preserve"> </w:t>
      </w:r>
      <w:r>
        <w:t xml:space="preserve">with an explicit applicability-domain statement on every value.</w:t>
      </w:r>
    </w:p>
    <w:bookmarkEnd w:id="20"/>
    <w:bookmarkStart w:id="21" w:name="X09f237f0cceb4d43402dde204391ff782dee8f6"/>
    <w:p>
      <w:pPr>
        <w:pStyle w:val="Heading3"/>
      </w:pPr>
      <w:r>
        <w:t xml:space="preserve">Use case: a mechanism profile, and knowing when to stay silent</w:t>
      </w:r>
    </w:p>
    <w:p>
      <w:pPr>
        <w:pStyle w:val="FirstParagraph"/>
      </w:pPr>
      <w:r>
        <w:t xml:space="preserve">Submitting donepezil returns a barrier probability of 0.99 and acetylcholinesterase as the driving</w:t>
      </w:r>
      <w:r>
        <w:t xml:space="preserve"> </w:t>
      </w:r>
      <w:r>
        <w:t xml:space="preserve">target, surfacing Alzheimer’s disease at 0.99 with cognition (cholinergic) alongside it. Haloperidol</w:t>
      </w:r>
      <w:r>
        <w:t xml:space="preserve"> </w:t>
      </w:r>
      <w:r>
        <w:t xml:space="preserve">returns D2 and psychosis at 0.95; morphine returns the mu-opioid receptor and chronic pain at 0.99;</w:t>
      </w:r>
      <w:r>
        <w:t xml:space="preserve"> </w:t>
      </w:r>
      <w:r>
        <w:t xml:space="preserve">fluoxetine returns the serotonin transporter and depression at 0.99 (Figure 4A). In each case the</w:t>
      </w:r>
      <w:r>
        <w:t xml:space="preserve"> </w:t>
      </w:r>
      <w:r>
        <w:t xml:space="preserve">server names the mechanism, and the mechanism is the pharmacologically correct one.</w:t>
      </w:r>
    </w:p>
    <w:p>
      <w:pPr>
        <w:pStyle w:val="BodyText"/>
      </w:pPr>
      <w:r>
        <w:t xml:space="preserve">The complementary behaviour is silence. Atorvastatin, metformin, losartan and hydrochlorothiazide</w:t>
      </w:r>
      <w:r>
        <w:t xml:space="preserve"> </w:t>
      </w:r>
      <w:r>
        <w:t xml:space="preserve">return barrier probabilities between 0.18 and 0.46 and no disease score above the reporting</w:t>
      </w:r>
      <w:r>
        <w:t xml:space="preserve"> </w:t>
      </w:r>
      <w:r>
        <w:t xml:space="preserve">threshold (Figure 4B). On the external reference set the server is correctly silent on 3 of the 5</w:t>
      </w:r>
      <w:r>
        <w:t xml:space="preserve"> </w:t>
      </w:r>
      <w:r>
        <w:t xml:space="preserve">non-CNS controls that are not already in its training chemistry. The two it calls are worth</w:t>
      </w:r>
      <w:r>
        <w:t xml:space="preserve"> </w:t>
      </w:r>
      <w:r>
        <w:t xml:space="preserve">naming rather than pooling: insulin glargine, a peptide that a small-molecule descriptor set</w:t>
      </w:r>
      <w:r>
        <w:t xml:space="preserve"> </w:t>
      </w:r>
      <w:r>
        <w:t xml:space="preserve">cannot represent and that the server should decline rather than score, and allopurinol at 0.395,</w:t>
      </w:r>
      <w:r>
        <w:t xml:space="preserve"> </w:t>
      </w:r>
      <w:r>
        <w:t xml:space="preserve">just above the reporting threshold. The control set is smaller than it was because desalting and</w:t>
      </w:r>
      <w:r>
        <w:t xml:space="preserve"> </w:t>
      </w:r>
      <w:r>
        <w:t xml:space="preserve">neutralisation made the in-training test stricter, moving two compounds that had been counted as</w:t>
      </w:r>
      <w:r>
        <w:t xml:space="preserve"> </w:t>
      </w:r>
      <w:r>
        <w:t xml:space="preserve">external into the training set where they belong. Silence is not a side effect: a target score is admitted only in</w:t>
      </w:r>
      <w:r>
        <w:t xml:space="preserve"> </w:t>
      </w:r>
      <w:r>
        <w:t xml:space="preserve">proportion to predicted barrier penetration, so a compound that does not arrive cannot generate a</w:t>
      </w:r>
      <w:r>
        <w:t xml:space="preserve"> </w:t>
      </w:r>
      <w:r>
        <w:t xml:space="preserve">call.</w:t>
      </w:r>
    </w:p>
    <w:bookmarkEnd w:id="21"/>
    <w:bookmarkStart w:id="22" w:name="X9a99dc11e4cc9d3e295f13c4b6a1b1751a14e5f"/>
    <w:p>
      <w:pPr>
        <w:pStyle w:val="Heading3"/>
      </w:pPr>
      <w:r>
        <w:t xml:space="preserve">The disease layer, and why it is a navigational aid rather than a prediction</w:t>
      </w:r>
    </w:p>
    <w:p>
      <w:pPr>
        <w:pStyle w:val="FirstParagraph"/>
      </w:pPr>
      <w:r>
        <w:t xml:space="preserve">The disease layer maps engaged targets onto conditions. It carries real information about its own</w:t>
      </w:r>
      <w:r>
        <w:t xml:space="preserve"> </w:t>
      </w:r>
      <w:r>
        <w:t xml:space="preserve">map: asked to recover the disease its target graph implies, it reaches top-3 accuracy 0.790 against a</w:t>
      </w:r>
      <w:r>
        <w:t xml:space="preserve"> </w:t>
      </w:r>
      <w:r>
        <w:t xml:space="preserve">permutation null of 0.154. It does not, however, predict clinical indication, and the evidence for</w:t>
      </w:r>
      <w:r>
        <w:t xml:space="preserve"> </w:t>
      </w:r>
      <w:r>
        <w:t xml:space="preserve">that limit is worth stating precisely because it is easy to overstate the layer in either direction.</w:t>
      </w:r>
    </w:p>
    <w:p>
      <w:pPr>
        <w:pStyle w:val="BodyText"/>
      </w:pPr>
      <w:r>
        <w:t xml:space="preserve">Validated against ChEMBL phase-4 indications on the 162 approved drugs whose structures appear</w:t>
      </w:r>
      <w:r>
        <w:t xml:space="preserve"> </w:t>
      </w:r>
      <w:r>
        <w:t xml:space="preserve">nowhere in the training chemistry, and judging the ranking alone with no reporting threshold, top-3</w:t>
      </w:r>
      <w:r>
        <w:t xml:space="preserve"> </w:t>
      </w:r>
      <w:r>
        <w:t xml:space="preserve">accuracy is 0.451. The model beats a permutation null decisively at every depth, so its output does</w:t>
      </w:r>
      <w:r>
        <w:t xml:space="preserve"> </w:t>
      </w:r>
      <w:r>
        <w:t xml:space="preserve">depend on the compound and is not memorisation. It does not beat a frequency null naming the</w:t>
      </w:r>
      <w:r>
        <w:t xml:space="preserve"> </w:t>
      </w:r>
      <w:r>
        <w:t xml:space="preserve">commonest CNS indications, and, importantly, reporting more conditions does not close that gap but</w:t>
      </w:r>
      <w:r>
        <w:t xml:space="preserve"> </w:t>
      </w:r>
      <w:r>
        <w:t xml:space="preserve">widens 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Conditions reported</w:t>
            </w:r>
          </w:p>
        </w:tc>
        <w:tc>
          <w:tcPr/>
          <w:p>
            <w:pPr>
              <w:pStyle w:val="Compact"/>
            </w:pPr>
            <w:r>
              <w:t xml:space="preserve">Model</w:t>
            </w:r>
          </w:p>
        </w:tc>
        <w:tc>
          <w:tcPr/>
          <w:p>
            <w:pPr>
              <w:pStyle w:val="Compact"/>
            </w:pPr>
            <w:r>
              <w:t xml:space="preserve">Frequency null</w:t>
            </w:r>
          </w:p>
        </w:tc>
        <w:tc>
          <w:tcPr/>
          <w:p>
            <w:pPr>
              <w:pStyle w:val="Compact"/>
            </w:pPr>
            <w:r>
              <w:t xml:space="preserve">Difference</w:t>
            </w:r>
          </w:p>
        </w:tc>
      </w:tr>
      <w:tr>
        <w:tc>
          <w:tcPr/>
          <w:p>
            <w:pPr>
              <w:pStyle w:val="Compact"/>
            </w:pPr>
            <w:r>
              <w:t xml:space="preserve">top-1</w:t>
            </w:r>
          </w:p>
        </w:tc>
        <w:tc>
          <w:tcPr/>
          <w:p>
            <w:pPr>
              <w:pStyle w:val="Compact"/>
            </w:pPr>
            <w:r>
              <w:t xml:space="preserve">0.296</w:t>
            </w:r>
          </w:p>
        </w:tc>
        <w:tc>
          <w:tcPr/>
          <w:p>
            <w:pPr>
              <w:pStyle w:val="Compact"/>
            </w:pPr>
            <w:r>
              <w:t xml:space="preserve">0.395</w:t>
            </w:r>
          </w:p>
        </w:tc>
        <w:tc>
          <w:tcPr/>
          <w:p>
            <w:pPr>
              <w:pStyle w:val="Compact"/>
            </w:pPr>
            <w:r>
              <w:t xml:space="preserve">-0.099</w:t>
            </w:r>
          </w:p>
        </w:tc>
      </w:tr>
      <w:tr>
        <w:tc>
          <w:tcPr/>
          <w:p>
            <w:pPr>
              <w:pStyle w:val="Compact"/>
            </w:pPr>
            <w:r>
              <w:t xml:space="preserve">top-3</w:t>
            </w:r>
          </w:p>
        </w:tc>
        <w:tc>
          <w:tcPr/>
          <w:p>
            <w:pPr>
              <w:pStyle w:val="Compact"/>
            </w:pPr>
            <w:r>
              <w:t xml:space="preserve">0.451</w:t>
            </w:r>
          </w:p>
        </w:tc>
        <w:tc>
          <w:tcPr/>
          <w:p>
            <w:pPr>
              <w:pStyle w:val="Compact"/>
            </w:pPr>
            <w:r>
              <w:t xml:space="preserve">0.654</w:t>
            </w:r>
          </w:p>
        </w:tc>
        <w:tc>
          <w:tcPr/>
          <w:p>
            <w:pPr>
              <w:pStyle w:val="Compact"/>
            </w:pPr>
            <w:r>
              <w:t xml:space="preserve">-0.204</w:t>
            </w:r>
          </w:p>
        </w:tc>
      </w:tr>
      <w:tr>
        <w:tc>
          <w:tcPr/>
          <w:p>
            <w:pPr>
              <w:pStyle w:val="Compact"/>
            </w:pPr>
            <w:r>
              <w:t xml:space="preserve">top-5</w:t>
            </w:r>
          </w:p>
        </w:tc>
        <w:tc>
          <w:tcPr/>
          <w:p>
            <w:pPr>
              <w:pStyle w:val="Compact"/>
            </w:pPr>
            <w:r>
              <w:t xml:space="preserve">0.549</w:t>
            </w:r>
          </w:p>
        </w:tc>
        <w:tc>
          <w:tcPr/>
          <w:p>
            <w:pPr>
              <w:pStyle w:val="Compact"/>
            </w:pPr>
            <w:r>
              <w:t xml:space="preserve">0.821</w:t>
            </w:r>
          </w:p>
        </w:tc>
        <w:tc>
          <w:tcPr/>
          <w:p>
            <w:pPr>
              <w:pStyle w:val="Compact"/>
            </w:pPr>
            <w:r>
              <w:t xml:space="preserve">-0.272</w:t>
            </w:r>
          </w:p>
        </w:tc>
      </w:tr>
      <w:tr>
        <w:tc>
          <w:tcPr/>
          <w:p>
            <w:pPr>
              <w:pStyle w:val="Compact"/>
            </w:pPr>
            <w:r>
              <w:t xml:space="preserve">top-8</w:t>
            </w:r>
          </w:p>
        </w:tc>
        <w:tc>
          <w:tcPr/>
          <w:p>
            <w:pPr>
              <w:pStyle w:val="Compact"/>
            </w:pPr>
            <w:r>
              <w:t xml:space="preserve">0.605</w:t>
            </w:r>
          </w:p>
        </w:tc>
        <w:tc>
          <w:tcPr/>
          <w:p>
            <w:pPr>
              <w:pStyle w:val="Compact"/>
            </w:pPr>
            <w:r>
              <w:t xml:space="preserve">0.969</w:t>
            </w:r>
          </w:p>
        </w:tc>
        <w:tc>
          <w:tcPr/>
          <w:p>
            <w:pPr>
              <w:pStyle w:val="Compact"/>
            </w:pPr>
            <w:r>
              <w:t xml:space="preserve">-0.364</w:t>
            </w:r>
          </w:p>
        </w:tc>
      </w:tr>
    </w:tbl>
    <w:p>
      <w:pPr>
        <w:pStyle w:val="BodyText"/>
      </w:pPr>
      <w:r>
        <w:t xml:space="preserve">A constant answer gains from each additional slot faster than the model does, because approved CNS</w:t>
      </w:r>
      <w:r>
        <w:t xml:space="preserve"> </w:t>
      </w:r>
      <w:r>
        <w:t xml:space="preserve">indications are concentrated in a few classes. Deepening the list is therefore not a remedy.</w:t>
      </w:r>
    </w:p>
    <w:p>
      <w:pPr>
        <w:pStyle w:val="BodyText"/>
      </w:pPr>
      <w:r>
        <w:t xml:space="preserve">Top-k accuracy is, however, the metric on which a constant answer is strongest, and it is worth</w:t>
      </w:r>
      <w:r>
        <w:t xml:space="preserve"> </w:t>
      </w:r>
      <w:r>
        <w:t xml:space="preserve">recording what the layer does on two metrics a constant answer cannot pass. Per-indication AUROC asks</w:t>
      </w:r>
      <w:r>
        <w:t xml:space="preserve"> </w:t>
      </w:r>
      <w:r>
        <w:t xml:space="preserve">whether the drugs that treat a condition score above the drugs that do not, and any constant</w:t>
      </w:r>
      <w:r>
        <w:t xml:space="preserve"> </w:t>
      </w:r>
      <w:r>
        <w:t xml:space="preserve">predictor scores 0.500 by construction; over the nine indications carrying at least five of these</w:t>
      </w:r>
      <w:r>
        <w:t xml:space="preserve"> </w:t>
      </w:r>
      <w:r>
        <w:t xml:space="preserve">drugs the layer averages 0.603 and beats chance on seven. Macro-averaged top-3 recall, which averages</w:t>
      </w:r>
      <w:r>
        <w:t xml:space="preserve"> </w:t>
      </w:r>
      <w:r>
        <w:t xml:space="preserve">per indication rather than pooling and so cannot be carried by naming the common conditions, is 0.385</w:t>
      </w:r>
      <w:r>
        <w:t xml:space="preserve"> </w:t>
      </w:r>
      <w:r>
        <w:t xml:space="preserve">against 0.333. The spread is wide and is the substance of the result: depression and anxiety reach</w:t>
      </w:r>
      <w:r>
        <w:t xml:space="preserve"> </w:t>
      </w:r>
      <w:r>
        <w:t xml:space="preserve">0.794 and psychosis 0.765, while epilepsy at 0.490 and sleep at 0.499 sit at or just below chance. The layer therefore does respond to</w:t>
      </w:r>
      <w:r>
        <w:t xml:space="preserve"> </w:t>
      </w:r>
      <w:r>
        <w:t xml:space="preserve">the compound, decisively for some conditions and not at all for others, which is why it is offered as</w:t>
      </w:r>
      <w:r>
        <w:t xml:space="preserve"> </w:t>
      </w:r>
      <w:r>
        <w:t xml:space="preserve">a route from mechanism to condition and not as an indication prediction.</w:t>
      </w:r>
    </w:p>
    <w:p>
      <w:pPr>
        <w:pStyle w:val="BodyText"/>
      </w:pPr>
      <w:r>
        <w:t xml:space="preserve">The reason is structural rather than a deficiency of fitting, and it is visible in the graph: 27 of</w:t>
      </w:r>
      <w:r>
        <w:t xml:space="preserve"> </w:t>
      </w:r>
      <w:r>
        <w:t xml:space="preserve">the 51 targets in the pathway graph drive more than one condition. GABA-A alone contributes to depression and</w:t>
      </w:r>
      <w:r>
        <w:t xml:space="preserve"> </w:t>
      </w:r>
      <w:r>
        <w:t xml:space="preserve">anxiety, sleep and wakefulness, and epilepsy. One molecular event genuinely underlies several</w:t>
      </w:r>
      <w:r>
        <w:t xml:space="preserve"> </w:t>
      </w:r>
      <w:r>
        <w:t xml:space="preserve">indications, and what selects among them, dose, regimen, exposure duration, patient population and</w:t>
      </w:r>
      <w:r>
        <w:t xml:space="preserve"> </w:t>
      </w:r>
      <w:r>
        <w:t xml:space="preserve">trial history, is not present in a structure. Consistent with this, the median rank of the true</w:t>
      </w:r>
      <w:r>
        <w:t xml:space="preserve"> </w:t>
      </w:r>
      <w:r>
        <w:t xml:space="preserve">indication among the 162 never-seen drugs is 4.5: the server places the correct condition in the right</w:t>
      </w:r>
      <w:r>
        <w:t xml:space="preserve"> </w:t>
      </w:r>
      <w:r>
        <w:t xml:space="preserve">mechanistic neighbourhood but cannot resolve which member of that neighbourhood a compound was</w:t>
      </w:r>
      <w:r>
        <w:t xml:space="preserve"> </w:t>
      </w:r>
      <w:r>
        <w:t xml:space="preserve">developed for.</w:t>
      </w:r>
    </w:p>
    <w:p>
      <w:pPr>
        <w:pStyle w:val="BodyText"/>
      </w:pPr>
      <w:r>
        <w:t xml:space="preserve">The disease scores are therefore presented as a route from a mechanism to the conditions that</w:t>
      </w:r>
      <w:r>
        <w:t xml:space="preserve"> </w:t>
      </w:r>
      <w:r>
        <w:t xml:space="preserve">mechanism touches, useful for orientation and for deciding what to test next, and they are not</w:t>
      </w:r>
      <w:r>
        <w:t xml:space="preserve"> </w:t>
      </w:r>
      <w:r>
        <w:t xml:space="preserve">offered as an indication prediction. The mechanism call, not the disease list, is the result this</w:t>
      </w:r>
      <w:r>
        <w:t xml:space="preserve"> </w:t>
      </w:r>
      <w:r>
        <w:t xml:space="preserve">server stands on.</w:t>
      </w:r>
    </w:p>
    <w:bookmarkEnd w:id="22"/>
    <w:bookmarkStart w:id="23" w:name="what-the-falsification-analysis-removed"/>
    <w:p>
      <w:pPr>
        <w:pStyle w:val="Heading3"/>
      </w:pPr>
      <w:r>
        <w:t xml:space="preserve">What the falsification analysis removed</w:t>
      </w:r>
    </w:p>
    <w:p>
      <w:pPr>
        <w:pStyle w:val="FirstParagraph"/>
      </w:pPr>
      <w:r>
        <w:t xml:space="preserve">Every result above was produced by first attempting to break it. The analysis returned findings in</w:t>
      </w:r>
      <w:r>
        <w:t xml:space="preserve"> </w:t>
      </w:r>
      <w:r>
        <w:t xml:space="preserve">both directions. The disease layer carries real information: top-3 accuracy 0.790 against a</w:t>
      </w:r>
      <w:r>
        <w:t xml:space="preserve"> </w:t>
      </w:r>
      <w:r>
        <w:t xml:space="preserve">permutation null of 0.163. Its curated edge weights do not: uniform and randomly permuted weights</w:t>
      </w:r>
      <w:r>
        <w:t xml:space="preserve"> </w:t>
      </w:r>
      <w:r>
        <w:t xml:space="preserve">score 0.7897 and 0.7874 against 0.7901, so the predictive content lies in the graph topology, and the</w:t>
      </w:r>
      <w:r>
        <w:t xml:space="preserve"> </w:t>
      </w:r>
      <w:r>
        <w:t xml:space="preserve">weights are reported as structure rather than as tuned parameters. The same analysis found a</w:t>
      </w:r>
      <w:r>
        <w:t xml:space="preserve"> </w:t>
      </w:r>
      <w:r>
        <w:t xml:space="preserve">deployed endpoint, Nav1.1, calling glucose, urea, glycine, lactate and atenolol binders at its</w:t>
      </w:r>
      <w:r>
        <w:t xml:space="preserve"> </w:t>
      </w:r>
      <w:r>
        <w:t xml:space="preserve">calibrated threshold, at a random-chemistry false-positive rate of 0.080 and a sensitivity of</w:t>
      </w:r>
      <w:r>
        <w:t xml:space="preserve"> </w:t>
      </w:r>
      <w:r>
        <w:t xml:space="preserve">0.120; no cut separates a metabolite from a sodium-channel ligand, and it is withdrawn. GluA2 fails</w:t>
      </w:r>
      <w:r>
        <w:t xml:space="preserve"> </w:t>
      </w:r>
      <w:r>
        <w:t xml:space="preserve">the same test on the current fits and is withdrawn with it. Three overrides that had been applied</w:t>
      </w:r>
      <w:r>
        <w:t xml:space="preserve"> </w:t>
      </w:r>
      <w:r>
        <w:t xml:space="preserve">to other endpoints were removed at the same time, because the observations that justified them do</w:t>
      </w:r>
      <w:r>
        <w:t xml:space="preserve"> </w:t>
      </w:r>
      <w:r>
        <w:t xml:space="preserve">not reproduce on the refitted models and an override whose justification has expired costs</w:t>
      </w:r>
      <w:r>
        <w:t xml:space="preserve"> </w:t>
      </w:r>
      <w:r>
        <w:t xml:space="preserve">sensitivity for a false positive that no longer occurs.</w:t>
      </w:r>
    </w:p>
    <w:p>
      <w:r>
        <w:pict>
          <v:rect style="width:0;height:1.5pt" o:hralign="center" o:hrstd="t" o:hr="t"/>
        </w:pict>
      </w:r>
    </w:p>
    <w:bookmarkEnd w:id="23"/>
    <w:bookmarkEnd w:id="24"/>
    <w:bookmarkStart w:id="25" w:name="discussion"/>
    <w:p>
      <w:pPr>
        <w:pStyle w:val="Heading2"/>
      </w:pPr>
      <w:r>
        <w:t xml:space="preserve">Discussion</w:t>
      </w:r>
    </w:p>
    <w:p>
      <w:pPr>
        <w:pStyle w:val="FirstParagraph"/>
      </w:pPr>
      <w:r>
        <w:t xml:space="preserve">BrainSafe AI answers the four questions a CNS candidate must satisfy in one pass, and reports the</w:t>
      </w:r>
      <w:r>
        <w:t xml:space="preserve"> </w:t>
      </w:r>
      <w:r>
        <w:t xml:space="preserve">uncertainty on each. Its principal contribution is not any individual AUROC but the discipline</w:t>
      </w:r>
      <w:r>
        <w:t xml:space="preserve"> </w:t>
      </w:r>
      <w:r>
        <w:t xml:space="preserve">imposed on how those numbers were obtained: a negative class recovered from censored measurements</w:t>
      </w:r>
      <w:r>
        <w:t xml:space="preserve"> </w:t>
      </w:r>
      <w:r>
        <w:t xml:space="preserve">rather than simulated with decoys, thresholds measured on a pool disjoint from the one that set</w:t>
      </w:r>
      <w:r>
        <w:t xml:space="preserve"> </w:t>
      </w:r>
      <w:r>
        <w:t xml:space="preserve">them, an applicability domain expressed as conformal coverage, and validations designed so that they</w:t>
      </w:r>
      <w:r>
        <w:t xml:space="preserve"> </w:t>
      </w:r>
      <w:r>
        <w:t xml:space="preserve">could fail.</w:t>
      </w:r>
    </w:p>
    <w:p>
      <w:pPr>
        <w:pStyle w:val="BodyText"/>
      </w:pPr>
      <w:r>
        <w:t xml:space="preserve">Five limitations bound its use. The applicability-domain flag is a weak signal rather than a</w:t>
      </w:r>
      <w:r>
        <w:t xml:space="preserve"> </w:t>
      </w:r>
      <w:r>
        <w:t xml:space="preserve">decisive one: against chemistry genuinely absent from the reference library it scores a median</w:t>
      </w:r>
      <w:r>
        <w:t xml:space="preserve"> </w:t>
      </w:r>
      <w:r>
        <w:t xml:space="preserve">maximum similarity, in the adversarial check, of 0.47 against 0.59 for unseen approved drugs (n = 25, one-sided Mann-Whitney</w:t>
      </w:r>
      <w:r>
        <w:t xml:space="preserve"> </w:t>
      </w:r>
      <w:r>
        <w:t xml:space="preserve">p = 1.1e-03), but at a threshold that rejects a tenth of genuine drugs it catches only a fifth of</w:t>
      </w:r>
      <w:r>
        <w:t xml:space="preserve"> </w:t>
      </w:r>
      <w:r>
        <w:t xml:space="preserve">distant chemistry. The conformal interval and the nearest-analogue distance remain the stronger</w:t>
      </w:r>
      <w:r>
        <w:t xml:space="preserve"> </w:t>
      </w:r>
      <w:r>
        <w:t xml:space="preserve">statements of confidence and the interface presents them as such. What the flag does predict well is</w:t>
      </w:r>
      <w:r>
        <w:t xml:space="preserve"> </w:t>
      </w:r>
      <w:r>
        <w:t xml:space="preserve">sensitivity: the distance it measures is the variable that recall tracks, so it is best read as a</w:t>
      </w:r>
      <w:r>
        <w:t xml:space="preserve"> </w:t>
      </w:r>
      <w:r>
        <w:t xml:space="preserve">statement about how likely the panel is to miss a real activity rather than about whether an answer</w:t>
      </w:r>
      <w:r>
        <w:t xml:space="preserve"> </w:t>
      </w:r>
      <w:r>
        <w:t xml:space="preserve">can be trusted.</w:t>
      </w:r>
    </w:p>
    <w:p>
      <w:pPr>
        <w:pStyle w:val="BodyText"/>
      </w:pPr>
      <w:r>
        <w:t xml:space="preserve">The second is the size of that effect. On chemistry more than a Tanimoto of 0.40 from anything the</w:t>
      </w:r>
      <w:r>
        <w:t xml:space="preserve"> </w:t>
      </w:r>
      <w:r>
        <w:t xml:space="preserve">panel has measured, recall at the deployed operating point is near 0.16, and no analysis here</w:t>
      </w:r>
      <w:r>
        <w:t xml:space="preserve"> </w:t>
      </w:r>
      <w:r>
        <w:t xml:space="preserve">improves it; what the prospective work establishes is that the figure is predictable, not that it is</w:t>
      </w:r>
      <w:r>
        <w:t xml:space="preserve"> </w:t>
      </w:r>
      <w:r>
        <w:t xml:space="preserve">better than it looked. A negative result on a novel scaffold is close to uninformative, which is why</w:t>
      </w:r>
      <w:r>
        <w:t xml:space="preserve"> </w:t>
      </w:r>
      <w:r>
        <w:t xml:space="preserve">the server now reports the expected recall beside it.</w:t>
      </w:r>
    </w:p>
    <w:p>
      <w:pPr>
        <w:pStyle w:val="BodyText"/>
      </w:pPr>
      <w:r>
        <w:t xml:space="preserve">The third is that the specificity estimate rests on compounds presumed inactive because nothing is</w:t>
      </w:r>
      <w:r>
        <w:t xml:space="preserve"> </w:t>
      </w:r>
      <w:r>
        <w:t xml:space="preserve">recorded about them, drawn from within the reference library, so it does not bound behaviour on</w:t>
      </w:r>
      <w:r>
        <w:t xml:space="preserve"> </w:t>
      </w:r>
      <w:r>
        <w:t xml:space="preserve">genuinely distant chemistry.</w:t>
      </w:r>
    </w:p>
    <w:p>
      <w:pPr>
        <w:pStyle w:val="BodyText"/>
      </w:pPr>
      <w:r>
        <w:t xml:space="preserve">The fourth is natural-product chemistry, and it is stated here because a reader will reasonably ask.</w:t>
      </w:r>
      <w:r>
        <w:t xml:space="preserve"> </w:t>
      </w:r>
      <w:r>
        <w:t xml:space="preserve">The training library has a median fraction-sp3 of 0.34 and only 9.2 per cent of it is both</w:t>
      </w:r>
      <w:r>
        <w:t xml:space="preserve"> </w:t>
      </w:r>
      <w:r>
        <w:t xml:space="preserve">sp3-rich and free of aromatic rings, so terpenoid and steroidal natural products are largely outside it: a</w:t>
      </w:r>
      <w:r>
        <w:t xml:space="preserve"> </w:t>
      </w:r>
      <w:r>
        <w:t xml:space="preserve">withanolide submitted to the server returns a maximum Tanimoto of 0.31 and no engagement call, with</w:t>
      </w:r>
      <w:r>
        <w:t xml:space="preserve"> </w:t>
      </w:r>
      <w:r>
        <w:t xml:space="preserve">a bile acid as its nearest measured neighbour. Measured activity for such compounds is scarce against</w:t>
      </w:r>
      <w:r>
        <w:t xml:space="preserve"> </w:t>
      </w:r>
      <w:r>
        <w:t xml:space="preserve">these targets and is usually recorded against cell lines rather than proteins. Assembling an external</w:t>
      </w:r>
      <w:r>
        <w:t xml:space="preserve"> </w:t>
      </w:r>
      <w:r>
        <w:t xml:space="preserve">test set from NPASS left only three endpoints with enough genuinely external data to score, after</w:t>
      </w:r>
      <w:r>
        <w:t xml:space="preserve"> </w:t>
      </w:r>
      <w:r>
        <w:t xml:space="preserve">1,385 nominally new compounds proved on inspection to be training compounds written as a different</w:t>
      </w:r>
      <w:r>
        <w:t xml:space="preserve"> </w:t>
      </w:r>
      <w:r>
        <w:t xml:space="preserve">tautomer or salt, and on those three the panel returns AUROC 0.463 at AChE (n=41), 0.741 at GBA1</w:t>
      </w:r>
      <w:r>
        <w:t xml:space="preserve"> </w:t>
      </w:r>
      <w:r>
        <w:t xml:space="preserve">(n=89) and 0.461 at hERG (n=80). With two to five actives per endpoint those intervals are far too</w:t>
      </w:r>
      <w:r>
        <w:t xml:space="preserve"> </w:t>
      </w:r>
      <w:r>
        <w:t xml:space="preserve">wide to establish failure, but they are equally far from supporting a claim of natural-product</w:t>
      </w:r>
      <w:r>
        <w:t xml:space="preserve"> </w:t>
      </w:r>
      <w:r>
        <w:t xml:space="preserve">capability, and none is made. The server flags such compounds as outside its domain, which is the</w:t>
      </w:r>
      <w:r>
        <w:t xml:space="preserve"> </w:t>
      </w:r>
      <w:r>
        <w:t xml:space="preserve">correct behaviour.</w:t>
      </w:r>
    </w:p>
    <w:p>
      <w:pPr>
        <w:pStyle w:val="BodyText"/>
      </w:pPr>
      <w:r>
        <w:t xml:space="preserve">Extending the panel to the targets natural products are actually assayed against was attempted and</w:t>
      </w:r>
      <w:r>
        <w:t xml:space="preserve"> </w:t>
      </w:r>
      <w:r>
        <w:t xml:space="preserve">did not work, and the attempt is reported because its outcome is informative. Surveying NPASS for</w:t>
      </w:r>
      <w:r>
        <w:t xml:space="preserve"> </w:t>
      </w:r>
      <w:r>
        <w:t xml:space="preserve">human protein targets with at least 60 measured compounds and 15 in each class identified 58 targets</w:t>
      </w:r>
      <w:r>
        <w:t xml:space="preserve"> </w:t>
      </w:r>
      <w:r>
        <w:t xml:space="preserve">absent from the panel. Three were selected on mechanism rather than on volume: NRF2 (651 compounds),</w:t>
      </w:r>
      <w:r>
        <w:t xml:space="preserve"> </w:t>
      </w:r>
      <w:r>
        <w:t xml:space="preserve">the effector of the KEAP1-NRF2 axis whose sensor alone was modelled and which is the withanolide</w:t>
      </w:r>
      <w:r>
        <w:t xml:space="preserve"> </w:t>
      </w:r>
      <w:r>
        <w:t xml:space="preserve">mechanism; NFKB1 (263), joining NLRP3 and RIPK1 on an existing neuroinflammation axis; and NR3C1</w:t>
      </w:r>
      <w:r>
        <w:t xml:space="preserve"> </w:t>
      </w:r>
      <w:r>
        <w:t xml:space="preserve">(140), the glucocorticoid receptor, the richest of the candidates in the sp3 chemistry the library</w:t>
      </w:r>
      <w:r>
        <w:t xml:space="preserve"> </w:t>
      </w:r>
      <w:r>
        <w:t xml:space="preserve">lacks. All three were trained and cross-validated by the same procedure as every other endpoint, and</w:t>
      </w:r>
      <w:r>
        <w:t xml:space="preserve"> </w:t>
      </w:r>
      <w:r>
        <w:t xml:space="preserve">all three were then withdrawn on the same criterion every endpoint faces. The distinction matters,</w:t>
      </w:r>
      <w:r>
        <w:t xml:space="preserve"> </w:t>
      </w:r>
      <w:r>
        <w:t xml:space="preserve">because they are not simply noise. Under scaffold-grouped cross-validation they carry some signal:</w:t>
      </w:r>
      <w:r>
        <w:t xml:space="preserve"> </w:t>
      </w:r>
      <w:r>
        <w:t xml:space="preserve">AUROC 0.719, 0.711 and 0.596 for NRF2, NFKB1 and NR3C1. But the fold-to-fold standard deviations are</w:t>
      </w:r>
      <w:r>
        <w:t xml:space="preserve"> </w:t>
      </w:r>
      <w:r>
        <w:t xml:space="preserve">0.157, 0.151 and 0.152, so that signal is not stable, and it does not survive the step that makes an</w:t>
      </w:r>
      <w:r>
        <w:t xml:space="preserve"> </w:t>
      </w:r>
      <w:r>
        <w:t xml:space="preserve">endpoint deployable. Against their own held-out measured inactives they reach AUROC 0.539, 0.392 and</w:t>
      </w:r>
      <w:r>
        <w:t xml:space="preserve"> </w:t>
      </w:r>
      <w:r>
        <w:t xml:space="preserve">0.479, and at a threshold constrained to control the false-positive rate on the disjoint background</w:t>
      </w:r>
      <w:r>
        <w:t xml:space="preserve"> </w:t>
      </w:r>
      <w:r>
        <w:t xml:space="preserve">pool they recover almost no actives at all: sensitivity 0.250, 0.048 and 0.000. An endpoint that</w:t>
      </w:r>
      <w:r>
        <w:t xml:space="preserve"> </w:t>
      </w:r>
      <w:r>
        <w:t xml:space="preserve">cannot be given a threshold that finds actives without firing on everything else is not usable,</w:t>
      </w:r>
      <w:r>
        <w:t xml:space="preserve"> </w:t>
      </w:r>
      <w:r>
        <w:t xml:space="preserve">whatever its cross-validated AUROC. The cause is visible in what the</w:t>
      </w:r>
      <w:r>
        <w:t xml:space="preserve"> </w:t>
      </w:r>
      <w:r>
        <w:t xml:space="preserve">labels are made of. A binder classifier is fitted to reproduce a direct binding constant, and</w:t>
      </w:r>
      <w:r>
        <w:t xml:space="preserve"> </w:t>
      </w:r>
      <w:r>
        <w:t xml:space="preserve">for two of these three there is essentially none: of the labelled records, Ki or Kd accounts for</w:t>
      </w:r>
      <w:r>
        <w:t xml:space="preserve"> </w:t>
      </w:r>
      <w:r>
        <w:t xml:space="preserve">0.0 per cent at NRF2, 0.3 per cent at NFKB1 and 14.8 per cent at NR3C1, the remainder being</w:t>
      </w:r>
      <w:r>
        <w:t xml:space="preserve"> </w:t>
      </w:r>
      <w:r>
        <w:t xml:space="preserve">almost entirely</w:t>
      </w:r>
      <w:r>
        <w:t xml:space="preserve"> </w:t>
      </w:r>
      <w:r>
        <w:rPr>
          <w:rStyle w:val="VerbatimChar"/>
        </w:rPr>
        <w:t xml:space="preserve">Potency</w:t>
      </w:r>
      <w:r>
        <w:t xml:space="preserve">, a pooled functional readout that mixes assay formats and does not</w:t>
      </w:r>
      <w:r>
        <w:t xml:space="preserve"> </w:t>
      </w:r>
      <w:r>
        <w:t xml:space="preserve">define a binding class a ligand fingerprint can separate. NR3C1, the one with real binding data,</w:t>
      </w:r>
      <w:r>
        <w:t xml:space="preserve"> </w:t>
      </w:r>
      <w:r>
        <w:t xml:space="preserve">is also the one with too few compounds to fit. The gap is therefore not one that adding targets</w:t>
      </w:r>
      <w:r>
        <w:t xml:space="preserve"> </w:t>
      </w:r>
      <w:r>
        <w:t xml:space="preserve">closes. It requires measured binding affinity on sp3-rich scaffolds, which is what does not</w:t>
      </w:r>
      <w:r>
        <w:t xml:space="preserve"> </w:t>
      </w:r>
      <w:r>
        <w:t xml:space="preserve">exist.</w:t>
      </w:r>
    </w:p>
    <w:p>
      <w:pPr>
        <w:pStyle w:val="BodyText"/>
      </w:pPr>
      <w:r>
        <w:t xml:space="preserve">The fifth is the disease layer, and it is a limit of the question rather than of the fitting. Clinical</w:t>
      </w:r>
      <w:r>
        <w:t xml:space="preserve"> </w:t>
      </w:r>
      <w:r>
        <w:t xml:space="preserve">indication is not a function of structure: 27 of the 51 targets in the pathway graph drive more than</w:t>
      </w:r>
      <w:r>
        <w:t xml:space="preserve"> </w:t>
      </w:r>
      <w:r>
        <w:t xml:space="preserve">one condition,</w:t>
      </w:r>
      <w:r>
        <w:t xml:space="preserve"> </w:t>
      </w:r>
      <w:r>
        <w:t xml:space="preserve">and what selects among them is dose, regimen, exposure and trial history. The layer does not beat a</w:t>
      </w:r>
      <w:r>
        <w:t xml:space="preserve"> </w:t>
      </w:r>
      <w:r>
        <w:t xml:space="preserve">frequency baseline at any reporting depth, and reporting more conditions widens rather than closes</w:t>
      </w:r>
      <w:r>
        <w:t xml:space="preserve"> </w:t>
      </w:r>
      <w:r>
        <w:t xml:space="preserve">that gap. It is offered as a route from a mechanism to the conditions that mechanism touches, and the</w:t>
      </w:r>
      <w:r>
        <w:t xml:space="preserve"> </w:t>
      </w:r>
      <w:r>
        <w:t xml:space="preserve">mechanism call is the result the server stands on. Improving it would require the clinical covariates</w:t>
      </w:r>
      <w:r>
        <w:t xml:space="preserve"> </w:t>
      </w:r>
      <w:r>
        <w:t xml:space="preserve">that determine indication, not a better model of the molecule.</w:t>
      </w:r>
    </w:p>
    <w:p>
      <w:pPr>
        <w:pStyle w:val="BodyText"/>
      </w:pPr>
      <w:r>
        <w:t xml:space="preserve">The server is designed to be extended: adding an endpoint requires a measured table and one training</w:t>
      </w:r>
      <w:r>
        <w:t xml:space="preserve"> </w:t>
      </w:r>
      <w:r>
        <w:t xml:space="preserve">command, and every artefact in this manuscript regenerates from the repository with a single command</w:t>
      </w:r>
      <w:r>
        <w:t xml:space="preserve"> </w:t>
      </w:r>
      <w:r>
        <w:t xml:space="preserve">per number.</w:t>
      </w:r>
    </w:p>
    <w:p>
      <w:r>
        <w:pict>
          <v:rect style="width:0;height:1.5pt" o:hralign="center" o:hrstd="t" o:hr="t"/>
        </w:pict>
      </w:r>
    </w:p>
    <w:bookmarkEnd w:id="25"/>
    <w:bookmarkStart w:id="26" w:name="data-availability"/>
    <w:p>
      <w:pPr>
        <w:pStyle w:val="Heading2"/>
      </w:pPr>
      <w:r>
        <w:t xml:space="preserve">Data availability</w:t>
      </w:r>
    </w:p>
    <w:p>
      <w:pPr>
        <w:pStyle w:val="FirstParagraph"/>
      </w:pPr>
      <w:r>
        <w:t xml:space="preserve">All code, the curated knowledge graph, per-fold validation artefacts, the independent reproduction</w:t>
      </w:r>
      <w:r>
        <w:t xml:space="preserve"> </w:t>
      </w:r>
      <w:r>
        <w:t xml:space="preserve">and the scripts that regenerate every table and figure are at</w:t>
      </w:r>
      <w:r>
        <w:t xml:space="preserve"> </w:t>
      </w:r>
      <w:r>
        <w:t xml:space="preserve">https://github.com/krishna-g-999/brainsafe-ai under the MIT licence. Trained estimators and the raw</w:t>
      </w:r>
      <w:r>
        <w:t xml:space="preserve"> </w:t>
      </w:r>
      <w:r>
        <w:t xml:space="preserve">API responses are deposited separately, each with a committed manifest recording the SHA-256 of the</w:t>
      </w:r>
      <w:r>
        <w:t xml:space="preserve"> </w:t>
      </w:r>
      <w:r>
        <w:t xml:space="preserve">archive and of every file inside it, so a download is verified rather than trusted.</w:t>
      </w:r>
    </w:p>
    <w:p>
      <w:pPr>
        <w:pStyle w:val="BodyText"/>
      </w:pPr>
      <w:r>
        <w:rPr>
          <w:b/>
          <w:bCs/>
        </w:rPr>
        <w:t xml:space="preserve">[TO BE SUPPLIED BEFORE SUBMISSION]</w:t>
      </w:r>
      <w:r>
        <w:t xml:space="preserve"> </w:t>
      </w:r>
      <w:r>
        <w:t xml:space="preserve">the public server URL (required in the abstract by NAR), the</w:t>
      </w:r>
      <w:r>
        <w:t xml:space="preserve"> </w:t>
      </w:r>
      <w:r>
        <w:t xml:space="preserve">deposit DOI, the author list, the corresponding address, and the funding statement. Every other value</w:t>
      </w:r>
      <w:r>
        <w:t xml:space="preserve"> </w:t>
      </w:r>
      <w:r>
        <w:t xml:space="preserve">in this manuscript is computed from an artefact in the repository.</w:t>
      </w:r>
    </w:p>
    <w:bookmarkEnd w:id="26"/>
    <w:bookmarkStart w:id="27" w:name="funding"/>
    <w:p>
      <w:pPr>
        <w:pStyle w:val="Heading2"/>
      </w:pPr>
      <w:r>
        <w:t xml:space="preserve">Funding</w:t>
      </w:r>
    </w:p>
    <w:p>
      <w:pPr>
        <w:pStyle w:val="FirstParagraph"/>
      </w:pPr>
      <w:r>
        <w:t xml:space="preserve">[TO BE SUPPLIED]</w:t>
      </w:r>
    </w:p>
    <w:bookmarkEnd w:id="27"/>
    <w:bookmarkStart w:id="28" w:name="conflict-of-interest"/>
    <w:p>
      <w:pPr>
        <w:pStyle w:val="Heading2"/>
      </w:pPr>
      <w:r>
        <w:t xml:space="preserve">Conflict of interest</w:t>
      </w:r>
    </w:p>
    <w:p>
      <w:pPr>
        <w:pStyle w:val="FirstParagraph"/>
      </w:pPr>
      <w:r>
        <w:t xml:space="preserve">None declared.</w:t>
      </w:r>
    </w:p>
    <w:p>
      <w:r>
        <w:pict>
          <v:rect style="width:0;height:1.5pt" o:hralign="center" o:hrstd="t" o:hr="t"/>
        </w:pict>
      </w:r>
    </w:p>
    <w:bookmarkEnd w:id="28"/>
    <w:bookmarkStart w:id="44" w:name="figure-legends"/>
    <w:p>
      <w:pPr>
        <w:pStyle w:val="Heading2"/>
      </w:pPr>
      <w:r>
        <w:t xml:space="preserve">Figure legends</w:t>
      </w:r>
    </w:p>
    <w:p>
      <w:pPr>
        <w:pStyle w:val="CaptionedFigure"/>
      </w:pPr>
      <w:r>
        <w:drawing>
          <wp:inline>
            <wp:extent cx="5334000" cy="4471716"/>
            <wp:effectExtent b="0" l="0" r="0" t="0"/>
            <wp:docPr descr="Figure 1" title="" id="30" name="Picture"/>
            <a:graphic>
              <a:graphicData uri="http://schemas.openxmlformats.org/drawingml/2006/picture">
                <pic:pic>
                  <pic:nvPicPr>
                    <pic:cNvPr descr="figures/Figure1_architecture.png" id="31" name="Picture"/>
                    <pic:cNvPicPr>
                      <a:picLocks noChangeArrowheads="1" noChangeAspect="1"/>
                    </pic:cNvPicPr>
                  </pic:nvPicPr>
                  <pic:blipFill>
                    <a:blip r:embed="rId29"/>
                    <a:stretch>
                      <a:fillRect/>
                    </a:stretch>
                  </pic:blipFill>
                  <pic:spPr bwMode="auto">
                    <a:xfrm>
                      <a:off x="0" y="0"/>
                      <a:ext cx="5334000" cy="4471716"/>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How a query is answered. (</w:t>
      </w:r>
      <w:r>
        <w:rPr>
          <w:b/>
          <w:bCs/>
        </w:rPr>
        <w:t xml:space="preserve">A</w:t>
      </w:r>
      <w:r>
        <w:t xml:space="preserve">) A submitted structure is standardised and represented</w:t>
      </w:r>
      <w:r>
        <w:t xml:space="preserve"> </w:t>
      </w:r>
      <w:r>
        <w:t xml:space="preserve">as one fixed 1,036-column vector, scored by four model families: nine exposure and ADME endpoints,</w:t>
      </w:r>
      <w:r>
        <w:t xml:space="preserve"> </w:t>
      </w:r>
      <w:r>
        <w:t xml:space="preserve">twelve target potency and activity endpoints, the 52-endpoint binder panel of which 47 are deployed,</w:t>
      </w:r>
      <w:r>
        <w:t xml:space="preserve"> </w:t>
      </w:r>
      <w:r>
        <w:t xml:space="preserve">and two auxiliary regressions. Every target score is admitted only in proportion to the predicted probability that the</w:t>
      </w:r>
      <w:r>
        <w:t xml:space="preserve"> </w:t>
      </w:r>
      <w:r>
        <w:t xml:space="preserve">compound reaches the brain, and surviving scores are ranked by enrichment over each endpoint’s base</w:t>
      </w:r>
      <w:r>
        <w:t xml:space="preserve"> </w:t>
      </w:r>
      <w:r>
        <w:t xml:space="preserve">rate rather than by raw probability. Every reported value carries a calibrated probability, a</w:t>
      </w:r>
      <w:r>
        <w:t xml:space="preserve"> </w:t>
      </w:r>
      <w:r>
        <w:t xml:space="preserve">conformal interval and an applicability-domain distance. (</w:t>
      </w:r>
      <w:r>
        <w:rPr>
          <w:b/>
          <w:bCs/>
        </w:rPr>
        <w:t xml:space="preserve">B</w:t>
      </w:r>
      <w:r>
        <w:t xml:space="preserve">) The counts in (</w:t>
      </w:r>
      <w:r>
        <w:rPr>
          <w:b/>
          <w:bCs/>
        </w:rPr>
        <w:t xml:space="preserve">A</w:t>
      </w:r>
      <w:r>
        <w:t xml:space="preserve">) are trained</w:t>
      </w:r>
      <w:r>
        <w:t xml:space="preserve"> </w:t>
      </w:r>
      <w:r>
        <w:t xml:space="preserve">estimators, 75 in total, of which 70 are deployed. Each was preceded by twenty fits that never serve</w:t>
      </w:r>
      <w:r>
        <w:t xml:space="preserve"> </w:t>
      </w:r>
      <w:r>
        <w:t xml:space="preserve">a prediction and exist only to measure how the twenty-first behaves on withheld compounds, 1,480</w:t>
      </w:r>
      <w:r>
        <w:t xml:space="preserve"> </w:t>
      </w:r>
      <w:r>
        <w:t xml:space="preserve">across the panel.</w:t>
      </w:r>
    </w:p>
    <w:p>
      <w:pPr>
        <w:pStyle w:val="CaptionedFigure"/>
      </w:pPr>
      <w:r>
        <w:drawing>
          <wp:inline>
            <wp:extent cx="5334000" cy="4095332"/>
            <wp:effectExtent b="0" l="0" r="0" t="0"/>
            <wp:docPr descr="Figure 2" title="" id="33" name="Picture"/>
            <a:graphic>
              <a:graphicData uri="http://schemas.openxmlformats.org/drawingml/2006/picture">
                <pic:pic>
                  <pic:nvPicPr>
                    <pic:cNvPr descr="figures/Figure9_model_atlas.png" id="34" name="Picture"/>
                    <pic:cNvPicPr>
                      <a:picLocks noChangeArrowheads="1" noChangeAspect="1"/>
                    </pic:cNvPicPr>
                  </pic:nvPicPr>
                  <pic:blipFill>
                    <a:blip r:embed="rId32"/>
                    <a:stretch>
                      <a:fillRect/>
                    </a:stretch>
                  </pic:blipFill>
                  <pic:spPr bwMode="auto">
                    <a:xfrm>
                      <a:off x="0" y="0"/>
                      <a:ext cx="5334000" cy="4095332"/>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The panel, one mark per estimator, so that no claim rests on a mean a reader cannot</w:t>
      </w:r>
      <w:r>
        <w:t xml:space="preserve"> </w:t>
      </w:r>
      <w:r>
        <w:t xml:space="preserve">check. (</w:t>
      </w:r>
      <w:r>
        <w:rPr>
          <w:b/>
          <w:bCs/>
        </w:rPr>
        <w:t xml:space="preserve">A</w:t>
      </w:r>
      <w:r>
        <w:t xml:space="preserve">) Every estimator, deployed or withdrawn, placed by the number of compounds it was</w:t>
      </w:r>
      <w:r>
        <w:t xml:space="preserve"> </w:t>
      </w:r>
      <w:r>
        <w:t xml:space="preserve">trained on</w:t>
      </w:r>
      <w:r>
        <w:t xml:space="preserve"> </w:t>
      </w:r>
      <w:r>
        <w:t xml:space="preserve">and by the performance claimed for it, coloured by model family. Marker shape carries the metric:</w:t>
      </w:r>
      <w:r>
        <w:t xml:space="preserve"> </w:t>
      </w:r>
      <w:r>
        <w:t xml:space="preserve">AUROC and R² both run to 1.0 and are not the same quantity, since 0.5 is chance for one and a</w:t>
      </w:r>
      <w:r>
        <w:t xml:space="preserve"> </w:t>
      </w:r>
      <w:r>
        <w:t xml:space="preserve">respectable fit for the other, so they are distinguished rather than averaged. The five estimators</w:t>
      </w:r>
      <w:r>
        <w:t xml:space="preserve"> </w:t>
      </w:r>
      <w:r>
        <w:t xml:space="preserve">withdrawn after specificity testing are drawn in outline, because a panel showing only what survived</w:t>
      </w:r>
      <w:r>
        <w:t xml:space="preserve"> </w:t>
      </w:r>
      <w:r>
        <w:t xml:space="preserve">is a selection rather than an inventory. Training sets span two orders of magnitude, from 68 to 15,723 rows;</w:t>
      </w:r>
      <w:r>
        <w:t xml:space="preserve"> </w:t>
      </w:r>
      <w:r>
        <w:t xml:space="preserve">binder training sets include property-matched decoys while the others are measured compounds only,</w:t>
      </w:r>
      <w:r>
        <w:t xml:space="preserve"> </w:t>
      </w:r>
      <w:r>
        <w:t xml:space="preserve">which the axis states. (</w:t>
      </w:r>
      <w:r>
        <w:rPr>
          <w:b/>
          <w:bCs/>
        </w:rPr>
        <w:t xml:space="preserve">B</w:t>
      </w:r>
      <w:r>
        <w:t xml:space="preserve">) The same population by family, with the</w:t>
      </w:r>
      <w:r>
        <w:t xml:space="preserve"> </w:t>
      </w:r>
      <w:r>
        <w:t xml:space="preserve">family median marked. The spread is the point: the binder classifiers have a median of 0.935 while</w:t>
      </w:r>
      <w:r>
        <w:t xml:space="preserve"> </w:t>
      </w:r>
      <w:r>
        <w:t xml:space="preserve">the exposure and ADME regressions have a median R² of 0.575, and a single panel average would</w:t>
      </w:r>
      <w:r>
        <w:t xml:space="preserve"> </w:t>
      </w:r>
      <w:r>
        <w:t xml:space="preserve">describe neither. The complete inventory, with training-set composition, validation scheme,</w:t>
      </w:r>
      <w:r>
        <w:t xml:space="preserve"> </w:t>
      </w:r>
      <w:r>
        <w:t xml:space="preserve">calibration and fitting date for every estimator, is Supplementary Table S1.</w:t>
      </w:r>
    </w:p>
    <w:p>
      <w:pPr>
        <w:pStyle w:val="CaptionedFigure"/>
      </w:pPr>
      <w:r>
        <w:drawing>
          <wp:inline>
            <wp:extent cx="5334000" cy="3957286"/>
            <wp:effectExtent b="0" l="0" r="0" t="0"/>
            <wp:docPr descr="Figure 3" title="" id="36" name="Picture"/>
            <a:graphic>
              <a:graphicData uri="http://schemas.openxmlformats.org/drawingml/2006/picture">
                <pic:pic>
                  <pic:nvPicPr>
                    <pic:cNvPr descr="figures/Figure6_validation.png" id="37" name="Picture"/>
                    <pic:cNvPicPr>
                      <a:picLocks noChangeArrowheads="1" noChangeAspect="1"/>
                    </pic:cNvPicPr>
                  </pic:nvPicPr>
                  <pic:blipFill>
                    <a:blip r:embed="rId35"/>
                    <a:stretch>
                      <a:fillRect/>
                    </a:stretch>
                  </pic:blipFill>
                  <pic:spPr bwMode="auto">
                    <a:xfrm>
                      <a:off x="0" y="0"/>
                      <a:ext cx="5334000" cy="3957286"/>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Four validations that a cross-validated score cannot replace. (</w:t>
      </w:r>
      <w:r>
        <w:rPr>
          <w:b/>
          <w:bCs/>
        </w:rPr>
        <w:t xml:space="preserve">A</w:t>
      </w:r>
      <w:r>
        <w:t xml:space="preserve">) Expected</w:t>
      </w:r>
      <w:r>
        <w:t xml:space="preserve"> </w:t>
      </w:r>
      <w:r>
        <w:t xml:space="preserve">calibration error before and after isotonic regression fitted on out-of-fold predictions, so no</w:t>
      </w:r>
      <w:r>
        <w:t xml:space="preserve"> </w:t>
      </w:r>
      <w:r>
        <w:t xml:space="preserve">compound contributes to the calibrator that scores it. (</w:t>
      </w:r>
      <w:r>
        <w:rPr>
          <w:b/>
          <w:bCs/>
        </w:rPr>
        <w:t xml:space="preserve">B</w:t>
      </w:r>
      <w:r>
        <w:t xml:space="preserve">) Recall on whole scaffold classes</w:t>
      </w:r>
      <w:r>
        <w:t xml:space="preserve"> </w:t>
      </w:r>
      <w:r>
        <w:t xml:space="preserve">withheld before training, with 95 per cent Wilson intervals (35) and marker area proportional</w:t>
      </w:r>
      <w:r>
        <w:t xml:space="preserve"> </w:t>
      </w:r>
      <w:r>
        <w:t xml:space="preserve">to the number of withheld actives, so an interval that is wide because the evidence is thin looks</w:t>
      </w:r>
      <w:r>
        <w:t xml:space="preserve"> </w:t>
      </w:r>
      <w:r>
        <w:t xml:space="preserve">thin. (</w:t>
      </w:r>
      <w:r>
        <w:rPr>
          <w:b/>
          <w:bCs/>
        </w:rPr>
        <w:t xml:space="preserve">C</w:t>
      </w:r>
      <w:r>
        <w:t xml:space="preserve">) Specificity on chemistry the server should stay quiet about, and external</w:t>
      </w:r>
      <w:r>
        <w:t xml:space="preserve"> </w:t>
      </w:r>
      <w:r>
        <w:t xml:space="preserve">discrimination on approved drugs absent from the training source. (</w:t>
      </w:r>
      <w:r>
        <w:rPr>
          <w:b/>
          <w:bCs/>
        </w:rPr>
        <w:t xml:space="preserve">D</w:t>
      </w:r>
      <w:r>
        <w:t xml:space="preserve">) The adversarial suite, in</w:t>
      </w:r>
      <w:r>
        <w:t xml:space="preserve"> </w:t>
      </w:r>
      <w:r>
        <w:t xml:space="preserve">which each check was written so that it could fail. All six pass, one of them only after its controls were corrected; each is shown at the same</w:t>
      </w:r>
      <w:r>
        <w:t xml:space="preserve"> </w:t>
      </w:r>
      <w:r>
        <w:t xml:space="preserve">size as the rest, is the applicability-domain flag, reported rather than retuned.</w:t>
      </w:r>
    </w:p>
    <w:p>
      <w:pPr>
        <w:pStyle w:val="CaptionedFigure"/>
      </w:pPr>
      <w:r>
        <w:drawing>
          <wp:inline>
            <wp:extent cx="5334000" cy="2786264"/>
            <wp:effectExtent b="0" l="0" r="0" t="0"/>
            <wp:docPr descr="Figure 4" title="" id="39" name="Picture"/>
            <a:graphic>
              <a:graphicData uri="http://schemas.openxmlformats.org/drawingml/2006/picture">
                <pic:pic>
                  <pic:nvPicPr>
                    <pic:cNvPr descr="figures/Figure8_use_case.png" id="40" name="Picture"/>
                    <pic:cNvPicPr>
                      <a:picLocks noChangeArrowheads="1" noChangeAspect="1"/>
                    </pic:cNvPicPr>
                  </pic:nvPicPr>
                  <pic:blipFill>
                    <a:blip r:embed="rId38"/>
                    <a:stretch>
                      <a:fillRect/>
                    </a:stretch>
                  </pic:blipFill>
                  <pic:spPr bwMode="auto">
                    <a:xfrm>
                      <a:off x="0" y="0"/>
                      <a:ext cx="5334000" cy="2786264"/>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A worked profile and the silence behaviour. For four approved CNS drugs the server</w:t>
      </w:r>
      <w:r>
        <w:t xml:space="preserve"> </w:t>
      </w:r>
      <w:r>
        <w:t xml:space="preserve">recovers the pharmacologically correct driving mechanism and the corresponding condition; for four</w:t>
      </w:r>
      <w:r>
        <w:t xml:space="preserve"> </w:t>
      </w:r>
      <w:r>
        <w:t xml:space="preserve">peripherally acting compounds no disease score reaches the reporting threshold. Bars are disease</w:t>
      </w:r>
      <w:r>
        <w:t xml:space="preserve"> </w:t>
      </w:r>
      <w:r>
        <w:t xml:space="preserve">scores after exposure gating, and the driving target is named beside each. The two behaviours are the</w:t>
      </w:r>
      <w:r>
        <w:t xml:space="preserve"> </w:t>
      </w:r>
      <w:r>
        <w:t xml:space="preserve">same design decision seen from opposite sides: a target score is admitted only in proportion to</w:t>
      </w:r>
      <w:r>
        <w:t xml:space="preserve"> </w:t>
      </w:r>
      <w:r>
        <w:t xml:space="preserve">predicted barrier penetration, so a compound that does not arrive cannot generate a disease call.</w:t>
      </w:r>
    </w:p>
    <w:p>
      <w:pPr>
        <w:pStyle w:val="BodyText"/>
      </w:pPr>
      <w:r>
        <w:t xml:space="preserve">Supplementary figures, each named by the file it is generated into so that the number and the</w:t>
      </w:r>
      <w:r>
        <w:t xml:space="preserve"> </w:t>
      </w:r>
      <w:r>
        <w:t xml:space="preserve">artefact cannot come apart:</w:t>
      </w:r>
    </w:p>
    <w:p>
      <w:pPr>
        <w:pStyle w:val="CaptionedFigure"/>
      </w:pPr>
      <w:r>
        <w:drawing>
          <wp:inline>
            <wp:extent cx="5334000" cy="4759684"/>
            <wp:effectExtent b="0" l="0" r="0" t="0"/>
            <wp:docPr descr="Figure 5" title="" id="42" name="Picture"/>
            <a:graphic>
              <a:graphicData uri="http://schemas.openxmlformats.org/drawingml/2006/picture">
                <pic:pic>
                  <pic:nvPicPr>
                    <pic:cNvPr descr="figures/Figure11_external_validation.png" id="43" name="Picture"/>
                    <pic:cNvPicPr>
                      <a:picLocks noChangeArrowheads="1" noChangeAspect="1"/>
                    </pic:cNvPicPr>
                  </pic:nvPicPr>
                  <pic:blipFill>
                    <a:blip r:embed="rId41"/>
                    <a:stretch>
                      <a:fillRect/>
                    </a:stretch>
                  </pic:blipFill>
                  <pic:spPr bwMode="auto">
                    <a:xfrm>
                      <a:off x="0" y="0"/>
                      <a:ext cx="5334000" cy="4759684"/>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w:t>
      </w:r>
      <w:r>
        <w:t xml:space="preserve"> </w:t>
      </w:r>
      <w:r>
        <w:t xml:space="preserve">External validation, and an apparent temporal decay that is a composition effect.</w:t>
      </w:r>
      <w:r>
        <w:t xml:space="preserve"> </w:t>
      </w:r>
      <w:r>
        <w:t xml:space="preserve">(</w:t>
      </w:r>
      <w:r>
        <w:rPr>
          <w:b/>
          <w:bCs/>
        </w:rPr>
        <w:t xml:space="preserve">A</w:t>
      </w:r>
      <w:r>
        <w:t xml:space="preserve">) Per endpoint, AUROC under a size-matched random split against AUROC under a time split that</w:t>
      </w:r>
      <w:r>
        <w:t xml:space="preserve"> </w:t>
      </w:r>
      <w:r>
        <w:t xml:space="preserve">withholds the most recent quarter of the data and freezes the decision threshold before the cutoff.</w:t>
      </w:r>
      <w:r>
        <w:t xml:space="preserve"> </w:t>
      </w:r>
      <w:r>
        <w:t xml:space="preserve">The size match matters: a time split trains on less data as well as none of the future, so without a</w:t>
      </w:r>
      <w:r>
        <w:t xml:space="preserve"> </w:t>
      </w:r>
      <w:r>
        <w:t xml:space="preserve">control at the same n a drop cannot be attributed to either. (</w:t>
      </w:r>
      <w:r>
        <w:rPr>
          <w:b/>
          <w:bCs/>
        </w:rPr>
        <w:t xml:space="preserve">B</w:t>
      </w:r>
      <w:r>
        <w:t xml:space="preserve">) The same comparison for</w:t>
      </w:r>
      <w:r>
        <w:t xml:space="preserve"> </w:t>
      </w:r>
      <w:r>
        <w:t xml:space="preserve">sensitivity at the frozen operating point, where the gap is larger. (</w:t>
      </w:r>
      <w:r>
        <w:rPr>
          <w:b/>
          <w:bCs/>
        </w:rPr>
        <w:t xml:space="preserve">C</w:t>
      </w:r>
      <w:r>
        <w:t xml:space="preserve">) Why the gap exists. A</w:t>
      </w:r>
      <w:r>
        <w:t xml:space="preserve"> </w:t>
      </w:r>
      <w:r>
        <w:t xml:space="preserve">random split of medicinal-chemistry data holds out mostly close analogues of its own training set,</w:t>
      </w:r>
      <w:r>
        <w:t xml:space="preserve"> </w:t>
      </w:r>
      <w:r>
        <w:t xml:space="preserve">because the published record is series; a time split does not. The two are not testing comparable</w:t>
      </w:r>
      <w:r>
        <w:t xml:space="preserve"> </w:t>
      </w:r>
      <w:r>
        <w:t xml:space="preserve">populations. (</w:t>
      </w:r>
      <w:r>
        <w:rPr>
          <w:b/>
          <w:bCs/>
        </w:rPr>
        <w:t xml:space="preserve">D</w:t>
      </w:r>
      <w:r>
        <w:t xml:space="preserve">) The resolution. Recall against maximum Tanimoto similarity to the training</w:t>
      </w:r>
      <w:r>
        <w:t xml:space="preserve"> </w:t>
      </w:r>
      <w:r>
        <w:t xml:space="preserve">actives, for three test sets built by unrelated rules: withheld by publication date, withheld at</w:t>
      </w:r>
      <w:r>
        <w:t xml:space="preserve"> </w:t>
      </w:r>
      <w:r>
        <w:t xml:space="preserve">random, and withheld by curator, the last being compounds deposited in BindingDB and absent from</w:t>
      </w:r>
      <w:r>
        <w:t xml:space="preserve"> </w:t>
      </w:r>
      <w:r>
        <w:t xml:space="preserve">ChEMBL. They trace one curve, so recall is a function of chemical distance rather than of how the set</w:t>
      </w:r>
      <w:r>
        <w:t xml:space="preserve"> </w:t>
      </w:r>
      <w:r>
        <w:t xml:space="preserve">was held out, and the expected sensitivity for a submitted compound is knowable at query time.</w:t>
      </w:r>
    </w:p>
    <w:p>
      <w:pPr>
        <w:pStyle w:val="BodyText"/>
      </w:pPr>
      <w:r>
        <w:rPr>
          <w:b/>
          <w:bCs/>
        </w:rPr>
        <w:t xml:space="preserve">Figure S1</w:t>
      </w:r>
      <w:r>
        <w:t xml:space="preserve"> </w:t>
      </w:r>
      <w:r>
        <w:t xml:space="preserve">(</w:t>
      </w:r>
      <w:r>
        <w:rPr>
          <w:rStyle w:val="VerbatimChar"/>
        </w:rPr>
        <w:t xml:space="preserve">figures/Figure5_negative_class.png</w:t>
      </w:r>
      <w:r>
        <w:t xml:space="preserve">). Recovery of the measured negative class</w:t>
      </w:r>
      <w:r>
        <w:t xml:space="preserve"> </w:t>
      </w:r>
      <w:r>
        <w:t xml:space="preserve">from censored bounds, and its effect on class balance per endpoint.</w:t>
      </w:r>
    </w:p>
    <w:p>
      <w:pPr>
        <w:pStyle w:val="BodyText"/>
      </w:pPr>
      <w:r>
        <w:rPr>
          <w:b/>
          <w:bCs/>
        </w:rPr>
        <w:t xml:space="preserve">Figure S2</w:t>
      </w:r>
      <w:r>
        <w:t xml:space="preserve"> </w:t>
      </w:r>
      <w:r>
        <w:t xml:space="preserve">(</w:t>
      </w:r>
      <w:r>
        <w:rPr>
          <w:rStyle w:val="VerbatimChar"/>
        </w:rPr>
        <w:t xml:space="preserve">figures/Figure2_feature_vector.png</w:t>
      </w:r>
      <w:r>
        <w:t xml:space="preserve">). The 1,036-column feature vector computed</w:t>
      </w:r>
      <w:r>
        <w:t xml:space="preserve"> </w:t>
      </w:r>
      <w:r>
        <w:t xml:space="preserve">for a worked molecule, block by block.</w:t>
      </w:r>
    </w:p>
    <w:p>
      <w:pPr>
        <w:pStyle w:val="BodyText"/>
      </w:pPr>
      <w:r>
        <w:rPr>
          <w:b/>
          <w:bCs/>
        </w:rPr>
        <w:t xml:space="preserve">Figure S3</w:t>
      </w:r>
      <w:r>
        <w:t xml:space="preserve"> </w:t>
      </w:r>
      <w:r>
        <w:t xml:space="preserve">(</w:t>
      </w:r>
      <w:r>
        <w:rPr>
          <w:rStyle w:val="VerbatimChar"/>
        </w:rPr>
        <w:t xml:space="preserve">figures/Figure3_cv_design.png</w:t>
      </w:r>
      <w:r>
        <w:t xml:space="preserve">). The two cross-validation schemes, random and</w:t>
      </w:r>
      <w:r>
        <w:t xml:space="preserve"> </w:t>
      </w:r>
      <w:r>
        <w:t xml:space="preserve">Bemis-Murcko scaffold-grouped, and what each withholds.</w:t>
      </w:r>
    </w:p>
    <w:p>
      <w:pPr>
        <w:pStyle w:val="BodyText"/>
      </w:pPr>
      <w:r>
        <w:rPr>
          <w:b/>
          <w:bCs/>
        </w:rPr>
        <w:t xml:space="preserve">Figure S4</w:t>
      </w:r>
      <w:r>
        <w:t xml:space="preserve"> </w:t>
      </w:r>
      <w:r>
        <w:t xml:space="preserve">(</w:t>
      </w:r>
      <w:r>
        <w:rPr>
          <w:rStyle w:val="VerbatimChar"/>
        </w:rPr>
        <w:t xml:space="preserve">figures/Figure4_pools_and_thresholds.png</w:t>
      </w:r>
      <w:r>
        <w:t xml:space="preserve">). The three disjoint background pools</w:t>
      </w:r>
      <w:r>
        <w:t xml:space="preserve"> </w:t>
      </w:r>
      <w:r>
        <w:t xml:space="preserve">and the separation between the pool that sets a threshold and the pool that measures it.</w:t>
      </w:r>
    </w:p>
    <w:p>
      <w:pPr>
        <w:pStyle w:val="BodyText"/>
      </w:pPr>
      <w:r>
        <w:rPr>
          <w:b/>
          <w:bCs/>
        </w:rPr>
        <w:t xml:space="preserve">Figure S5</w:t>
      </w:r>
      <w:r>
        <w:t xml:space="preserve"> </w:t>
      </w:r>
      <w:r>
        <w:t xml:space="preserve">(</w:t>
      </w:r>
      <w:r>
        <w:rPr>
          <w:rStyle w:val="VerbatimChar"/>
        </w:rPr>
        <w:t xml:space="preserve">figures/Figure7_binder_panel.png</w:t>
      </w:r>
      <w:r>
        <w:t xml:space="preserve">). The complete binder panel, all 52 endpoints</w:t>
      </w:r>
      <w:r>
        <w:t xml:space="preserve"> </w:t>
      </w:r>
      <w:r>
        <w:t xml:space="preserve">named, the 47 deployed and the 5 withdrawn distinguished by colour.</w:t>
      </w:r>
    </w:p>
    <w:bookmarkEnd w:id="44"/>
    <w:bookmarkStart w:id="45" w:name="references"/>
    <w:p>
      <w:pPr>
        <w:pStyle w:val="Heading2"/>
      </w:pPr>
      <w:r>
        <w:t xml:space="preserve">References</w:t>
      </w:r>
    </w:p>
    <w:p>
      <w:pPr>
        <w:pStyle w:val="FirstParagraph"/>
      </w:pPr>
      <w:r>
        <w:t xml:space="preserve">Every entry was resolved by a live query against CrossRef or Europe PMC and accepted only on a title match, or, where the identity is known and the registered title is a short form, by resolving the DOI and confirming the title and first author. The requested title, the matched title and the score are recorded in</w:t>
      </w:r>
      <w:r>
        <w:t xml:space="preserve"> </w:t>
      </w:r>
      <w:r>
        <w:rPr>
          <w:rStyle w:val="VerbatimChar"/>
        </w:rPr>
        <w:t xml:space="preserve">manuscript/references_verified.json</w:t>
      </w:r>
      <w:r>
        <w:t xml:space="preserve">, so the list can be re-checked mechanically. None is written from memory.</w:t>
      </w:r>
    </w:p>
    <w:p>
      <w:pPr>
        <w:pStyle w:val="Compact"/>
        <w:numPr>
          <w:ilvl w:val="0"/>
          <w:numId w:val="1001"/>
        </w:numPr>
      </w:pPr>
      <w:r>
        <w:t xml:space="preserve">Zdrazil B, Felix E, Hunter F et al. The ChEMBL Database in 2023: a drug discovery platform spanning multiple bioactivity data types and time periods. Nucleic Acids Research. 2024. doi:10.1093/nar/gkad1004.</w:t>
      </w:r>
    </w:p>
    <w:p>
      <w:pPr>
        <w:pStyle w:val="Compact"/>
        <w:numPr>
          <w:ilvl w:val="0"/>
          <w:numId w:val="1001"/>
        </w:numPr>
      </w:pPr>
      <w:r>
        <w:t xml:space="preserve">Gilson M, Liu T, Baitaluk M et al. BindingDB in 2015: A public database for medicinal chemistry, computational chemistry and systems pharmacology. Nucleic Acids Research. 2016. doi:10.1093/nar/gkv1072.</w:t>
      </w:r>
    </w:p>
    <w:p>
      <w:pPr>
        <w:pStyle w:val="Compact"/>
        <w:numPr>
          <w:ilvl w:val="0"/>
          <w:numId w:val="1001"/>
        </w:numPr>
      </w:pPr>
      <w:r>
        <w:t xml:space="preserve">Meng F, Xi Y, Huang J et al. A curated diverse molecular database of blood-brain barrier permeability with chemical descriptors. Scientific Data. 2021. doi:10.1038/s41597-021-01069-5.</w:t>
      </w:r>
    </w:p>
    <w:p>
      <w:pPr>
        <w:pStyle w:val="Compact"/>
        <w:numPr>
          <w:ilvl w:val="0"/>
          <w:numId w:val="1001"/>
        </w:numPr>
      </w:pPr>
      <w:r>
        <w:t xml:space="preserve">Alavijeh M, Chishty M, Qaiser M et al. Drug metabolism and pharmacokinetics, the blood-brain barrier, and central nervous system drug discovery. NeuroRX. 2005. doi:10.1602/neurorx.2.4.554.</w:t>
      </w:r>
    </w:p>
    <w:p>
      <w:pPr>
        <w:pStyle w:val="Compact"/>
        <w:numPr>
          <w:ilvl w:val="0"/>
          <w:numId w:val="1001"/>
        </w:numPr>
      </w:pPr>
      <w:r>
        <w:t xml:space="preserve">Loryan I, Reichel A, Feng B et al. Unbound Brain-to-Plasma Partition Coefficient, Kp,uu,brain—a Game Changing Parameter for CNS Drug Discovery and Development. Pharmaceutical Research. 2022. doi:10.1007/s11095-022-03246-6.</w:t>
      </w:r>
    </w:p>
    <w:p>
      <w:pPr>
        <w:pStyle w:val="Compact"/>
        <w:numPr>
          <w:ilvl w:val="0"/>
          <w:numId w:val="1001"/>
        </w:numPr>
      </w:pPr>
      <w:r>
        <w:t xml:space="preserve">Wager T, Hou X, Verhoest P et al. Moving beyond Rules: The Development of a Central Nervous System Multiparameter Optimization (CNS MPO) Approach To Enable Alignment of Druglike Properties. ACS Chemical Neuroscience. 2010. doi:10.1021/cn100008c.</w:t>
      </w:r>
    </w:p>
    <w:p>
      <w:pPr>
        <w:pStyle w:val="Compact"/>
        <w:numPr>
          <w:ilvl w:val="0"/>
          <w:numId w:val="1001"/>
        </w:numPr>
      </w:pPr>
      <w:r>
        <w:t xml:space="preserve">Saify Z, Sultana N. Role of Acetylcholinesterase Inhibitors and Alzheimer Disease. Drug Design and Discovery in Alzheimer’s Disease. 2014. doi:10.1016/b978-0-12-803959-5.50007-6.</w:t>
      </w:r>
    </w:p>
    <w:p>
      <w:pPr>
        <w:pStyle w:val="Compact"/>
        <w:numPr>
          <w:ilvl w:val="0"/>
          <w:numId w:val="1001"/>
        </w:numPr>
      </w:pPr>
      <w:r>
        <w:t xml:space="preserve">Decourt B, Macias M, Sabbagh M et al. BACE1 Inhibitors: Attractive Therapeutics for Alzheimer’s Disease. Drug Design and Discovery in Alzheimer’s Disease. 2014. doi:10.1016/b978-0-12-803959-5.50010-6.</w:t>
      </w:r>
    </w:p>
    <w:p>
      <w:pPr>
        <w:pStyle w:val="Compact"/>
        <w:numPr>
          <w:ilvl w:val="0"/>
          <w:numId w:val="1001"/>
        </w:numPr>
      </w:pPr>
      <w:r>
        <w:t xml:space="preserve">Dezsi L, Vecsei L. Monoamine Oxidase B Inhibitors in Parkinson’s Disease. CNS &amp; neurological disorders drug targets. 2017. doi:10.2174/1871527316666170124165222.</w:t>
      </w:r>
    </w:p>
    <w:p>
      <w:pPr>
        <w:pStyle w:val="Compact"/>
        <w:numPr>
          <w:ilvl w:val="0"/>
          <w:numId w:val="1001"/>
        </w:numPr>
      </w:pPr>
      <w:r>
        <w:t xml:space="preserve">West A. Achieving neuroprotection with LRRK2 kinase inhibitors in Parkinson disease. Experimental Neurology. 2017. doi:10.1016/j.expneurol.2017.07.019.</w:t>
      </w:r>
    </w:p>
    <w:p>
      <w:pPr>
        <w:pStyle w:val="Compact"/>
        <w:numPr>
          <w:ilvl w:val="0"/>
          <w:numId w:val="1001"/>
        </w:numPr>
      </w:pPr>
      <w:r>
        <w:t xml:space="preserve">Riemann D, Spiegelhalder K. Orexin receptor antagonists: a new treatment for insomnia?. The Lancet Neurology. 2014. doi:10.1016/s1474-4422(13)70311-9.</w:t>
      </w:r>
    </w:p>
    <w:p>
      <w:pPr>
        <w:pStyle w:val="Compact"/>
        <w:numPr>
          <w:ilvl w:val="0"/>
          <w:numId w:val="1001"/>
        </w:numPr>
      </w:pPr>
      <w:r>
        <w:t xml:space="preserve">Duan Y, Kelley N, He Y. Role of the NLRP3 inflammasome in neurodegenerative diseases and therapeutic implications. Neural Regeneration Research. 2020. doi:10.4103/1673-5374.272576.</w:t>
      </w:r>
    </w:p>
    <w:p>
      <w:pPr>
        <w:pStyle w:val="Compact"/>
        <w:numPr>
          <w:ilvl w:val="0"/>
          <w:numId w:val="1001"/>
        </w:numPr>
      </w:pPr>
      <w:r>
        <w:t xml:space="preserve">Yamazaki H, Tanji K, Wakabayashi K, Matsuura S, Itoh K. Role of the Keap1/Nrf2 pathway in neurodegenerative diseases. Pathology international. 2015. doi:10.1111/pin.12261.</w:t>
      </w:r>
    </w:p>
    <w:p>
      <w:pPr>
        <w:pStyle w:val="Compact"/>
        <w:numPr>
          <w:ilvl w:val="0"/>
          <w:numId w:val="1001"/>
        </w:numPr>
      </w:pPr>
      <w:r>
        <w:t xml:space="preserve">Kovalenko M, Erdin S, Andrew M et al. Histone deacetylase knockouts modify transcription, CAG instability and nuclear pathology in Huntington disease mice. eLife. 2020. doi:10.7554/elife.55911.</w:t>
      </w:r>
    </w:p>
    <w:p>
      <w:pPr>
        <w:pStyle w:val="Compact"/>
        <w:numPr>
          <w:ilvl w:val="0"/>
          <w:numId w:val="1001"/>
        </w:numPr>
      </w:pPr>
      <w:r>
        <w:t xml:space="preserve">RG M, JD M, M L et al. Riluzole for amyotrophic lateral sclerosis (ALS)/motor neuron disease (MND). Amyotrophic Lateral Sclerosis and Other Motor Neuron Disorders. 2003. doi:10.1080/14660820310002601.</w:t>
      </w:r>
    </w:p>
    <w:p>
      <w:pPr>
        <w:pStyle w:val="Compact"/>
        <w:numPr>
          <w:ilvl w:val="0"/>
          <w:numId w:val="1001"/>
        </w:numPr>
      </w:pPr>
      <w:r>
        <w:t xml:space="preserve">Ritter J. Cardiac safety, drug‐induced QT prolongation and torsade de pointes (TdP). British Journal of Clinical Pharmacology. 2012. doi:10.1111/j.1365-2125.2012.04193.x.</w:t>
      </w:r>
    </w:p>
    <w:p>
      <w:pPr>
        <w:pStyle w:val="Compact"/>
        <w:numPr>
          <w:ilvl w:val="0"/>
          <w:numId w:val="1001"/>
        </w:numPr>
      </w:pPr>
      <w:r>
        <w:t xml:space="preserve">Huang K, Fu T, Gao W, Zhao Y, Roohani Y, Leskovec J, Coley CW, Xiao C, Sun J, Zitnik M. Artificial intelligence foundation for therapeutic science. Nature chemical biology. 2022. doi:10.1038/s41589-022-01131-2.</w:t>
      </w:r>
    </w:p>
    <w:p>
      <w:pPr>
        <w:pStyle w:val="Compact"/>
        <w:numPr>
          <w:ilvl w:val="0"/>
          <w:numId w:val="1001"/>
        </w:numPr>
      </w:pPr>
      <w:r>
        <w:t xml:space="preserve">Wu Z, Ramsundar B, Feinberg E et al. MoleculeNet: a benchmark for molecular machine learning. Chemical Science. 2018. doi:10.1039/c7sc02664a.</w:t>
      </w:r>
    </w:p>
    <w:p>
      <w:pPr>
        <w:pStyle w:val="Compact"/>
        <w:numPr>
          <w:ilvl w:val="0"/>
          <w:numId w:val="1001"/>
        </w:numPr>
      </w:pPr>
      <w:r>
        <w:t xml:space="preserve">Rogers D, Hahn M. Extended-Connectivity Fingerprints. Journal of Chemical Information and Modeling. 2010. doi:10.1021/ci100050t.</w:t>
      </w:r>
    </w:p>
    <w:p>
      <w:pPr>
        <w:pStyle w:val="Compact"/>
        <w:numPr>
          <w:ilvl w:val="0"/>
          <w:numId w:val="1001"/>
        </w:numPr>
      </w:pPr>
      <w:r>
        <w:t xml:space="preserve">Pedregosa F, Varoquaux G, Gramfort A et al. Scikit-learn: Machine Learning in Python. Journal of Machine Learning Research. 2011;12:2825-2830. https://www.jmlr.org/papers/v12/pedregosa11a.html</w:t>
      </w:r>
    </w:p>
    <w:p>
      <w:pPr>
        <w:pStyle w:val="Compact"/>
        <w:numPr>
          <w:ilvl w:val="0"/>
          <w:numId w:val="1001"/>
        </w:numPr>
      </w:pPr>
      <w:r>
        <w:t xml:space="preserve">Breiman L. Random Forests. Machine Learning. 2001. doi:10.1023/a:1010933404324.</w:t>
      </w:r>
    </w:p>
    <w:p>
      <w:pPr>
        <w:pStyle w:val="Compact"/>
        <w:numPr>
          <w:ilvl w:val="0"/>
          <w:numId w:val="1001"/>
        </w:numPr>
      </w:pPr>
      <w:r>
        <w:t xml:space="preserve">Chen T, Guestrin C. XGBoost: A Scalable Tree Boosting System. Proceedings of the 22nd ACM SIGKDD International Conference on Knowledge Discovery and Data Mining. 2016. doi:10.1145/2939672.2939785.</w:t>
      </w:r>
    </w:p>
    <w:p>
      <w:pPr>
        <w:pStyle w:val="Compact"/>
        <w:numPr>
          <w:ilvl w:val="0"/>
          <w:numId w:val="1001"/>
        </w:numPr>
      </w:pPr>
      <w:r>
        <w:t xml:space="preserve">Lundberg S, Erion G, Chen H et al. From local explanations to global understanding with explainable AI for trees. Nature Machine Intelligence. 2020. doi:10.1038/s42256-019-0138-9.</w:t>
      </w:r>
    </w:p>
    <w:p>
      <w:pPr>
        <w:pStyle w:val="Compact"/>
        <w:numPr>
          <w:ilvl w:val="0"/>
          <w:numId w:val="1001"/>
        </w:numPr>
      </w:pPr>
      <w:r>
        <w:t xml:space="preserve">Bemis G, Murcko M. The Properties of Known Drugs. 1. Molecular Frameworks. Journal of Medicinal Chemistry. 1996. doi:10.1021/jm9602928.</w:t>
      </w:r>
    </w:p>
    <w:p>
      <w:pPr>
        <w:pStyle w:val="Compact"/>
        <w:numPr>
          <w:ilvl w:val="0"/>
          <w:numId w:val="1001"/>
        </w:numPr>
      </w:pPr>
      <w:r>
        <w:t xml:space="preserve">Niculescu-Mizil A, Caruana R. Predicting good probabilities with supervised learning. Proceedings of the 22nd international conference on Machine learning - ICML ’05. 2005. doi:10.1145/1102351.1102430.</w:t>
      </w:r>
    </w:p>
    <w:p>
      <w:pPr>
        <w:pStyle w:val="Compact"/>
        <w:numPr>
          <w:ilvl w:val="0"/>
          <w:numId w:val="1001"/>
        </w:numPr>
      </w:pPr>
      <w:r>
        <w:t xml:space="preserve">Norinder U, Carlsson L, Boyer S et al. Introducing Conformal Prediction in Predictive Modeling. A Transparent and Flexible Alternative to Applicability Domain Determination. Journal of Chemical Information and Modeling. 2014. doi:10.1021/ci5001168.</w:t>
      </w:r>
    </w:p>
    <w:p>
      <w:pPr>
        <w:pStyle w:val="Compact"/>
        <w:numPr>
          <w:ilvl w:val="0"/>
          <w:numId w:val="1001"/>
        </w:numPr>
      </w:pPr>
      <w:r>
        <w:t xml:space="preserve">Jaworska J, Nikolova-Jeliazkova N, Aldenberg T. QSAR Applicability Domain Estimation by Projection of the Training Set in Descriptor Space: A Review. Alternatives to Laboratory Animals. 2005. doi:10.1177/026119290503300508.</w:t>
      </w:r>
    </w:p>
    <w:p>
      <w:pPr>
        <w:pStyle w:val="Compact"/>
        <w:numPr>
          <w:ilvl w:val="0"/>
          <w:numId w:val="1001"/>
        </w:numPr>
      </w:pPr>
      <w:r>
        <w:t xml:space="preserve">Mysinger M, Carchia M, Irwin J et al. Directory of Useful Decoys, Enhanced (DUD-E): Better Ligands and Decoys for Better Benchmarking. Journal of Medicinal Chemistry. 2012. doi:10.1021/jm300687e.</w:t>
      </w:r>
    </w:p>
    <w:p>
      <w:pPr>
        <w:pStyle w:val="Compact"/>
        <w:numPr>
          <w:ilvl w:val="0"/>
          <w:numId w:val="1001"/>
        </w:numPr>
      </w:pPr>
      <w:r>
        <w:t xml:space="preserve">Lin H, Lin C, Weng R. A note on Platt’s probabilistic outputs for support vector machines. Machine Learning. 2007. doi:10.1007/s10994-007-5018-6.</w:t>
      </w:r>
    </w:p>
    <w:p>
      <w:pPr>
        <w:pStyle w:val="Compact"/>
        <w:numPr>
          <w:ilvl w:val="0"/>
          <w:numId w:val="1001"/>
        </w:numPr>
      </w:pPr>
      <w:r>
        <w:t xml:space="preserve">Kanehisa M, Goto S. KEGG: kyoto encyclopedia of genes and genomes. Nucleic acids research. 2000. doi:10.1093/nar/28.1.27.</w:t>
      </w:r>
    </w:p>
    <w:p>
      <w:pPr>
        <w:pStyle w:val="Compact"/>
        <w:numPr>
          <w:ilvl w:val="0"/>
          <w:numId w:val="1001"/>
        </w:numPr>
      </w:pPr>
      <w:r>
        <w:t xml:space="preserve">Milacic M, Beavers D, Conley P, Gong C, Gillespie M, Griss J, Haw R, Jassal B, Matthews L, May B, Petryszak R, Ragueneau E, Rothfels K, Sevilla C, Shamovsky V, Stephan R, Tiwari K, Varusai T, Weiser J, Wright A, Wu G, Stein L, Hermjakob H, D’Eustachio P. The Reactome Pathway Knowledgebase 2024. Nucleic acids research. 2024. doi:10.1093/nar/gkad1025.</w:t>
      </w:r>
    </w:p>
    <w:p>
      <w:pPr>
        <w:pStyle w:val="Compact"/>
        <w:numPr>
          <w:ilvl w:val="0"/>
          <w:numId w:val="1001"/>
        </w:numPr>
      </w:pPr>
      <w:r>
        <w:t xml:space="preserve">Harding SD, Armstrong JF, Faccenda E, Southan C, Alexander SPH, Davenport AP, Spedding M, Davies JA. The IUPHAR/BPS Guide to PHARMACOLOGY in 2024. Nucleic acids research. 2024. doi:10.1093/nar/gkad944.</w:t>
      </w:r>
    </w:p>
    <w:p>
      <w:pPr>
        <w:pStyle w:val="Compact"/>
        <w:numPr>
          <w:ilvl w:val="0"/>
          <w:numId w:val="1001"/>
        </w:numPr>
      </w:pPr>
      <w:r>
        <w:t xml:space="preserve">Streamlit: an open-source app framework. https://streamlit.io</w:t>
      </w:r>
    </w:p>
    <w:p>
      <w:pPr>
        <w:pStyle w:val="Compact"/>
        <w:numPr>
          <w:ilvl w:val="0"/>
          <w:numId w:val="1001"/>
        </w:numPr>
      </w:pPr>
      <w:r>
        <w:t xml:space="preserve">RDKit: Open-source cheminformatics. https://www.rdkit.org</w:t>
      </w:r>
    </w:p>
    <w:p>
      <w:pPr>
        <w:pStyle w:val="Compact"/>
        <w:numPr>
          <w:ilvl w:val="0"/>
          <w:numId w:val="1001"/>
        </w:numPr>
      </w:pPr>
      <w:r>
        <w:t xml:space="preserve">Wilson E. Probable Inference, the Law of Succession, and Statistical Inference. Journal of the American Statistical Association. 1927. doi:10.1080/01621459.1927.10502953.</w:t>
      </w:r>
    </w:p>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2026-09-07T06:28:10Z</dcterms:created>
  <dcterms:modified xsi:type="dcterms:W3CDTF">2026-09-07T06:28:10Z</dcterms:modified>
</cp:coreProperties>
</file>

<file path=docProps/custom.xml><?xml version="1.0" encoding="utf-8"?>
<Properties xmlns="http://schemas.openxmlformats.org/officeDocument/2006/custom-properties" xmlns:vt="http://schemas.openxmlformats.org/officeDocument/2006/docPropsVTypes"/>
</file>