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9"/>
    <w:bookmarkStart w:id="1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10"/>
    <w:bookmarkStart w:id="1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11"/>
    <w:bookmarkStart w:id="1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12"/>
    <w:bookmarkStart w:id="1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13"/>
    <w:bookmarkStart w:id="1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8,803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These figures replace an earlier edition of this table, and the correction is larger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rounding.</w:t>
      </w:r>
      <w:r>
        <w:t xml:space="preserve"> </w:t>
      </w:r>
      <w:r>
        <w:t xml:space="preserve">The analysis that produced the first version split the raw endpoint tables, where the</w:t>
      </w:r>
      <w:r>
        <w:t xml:space="preserve"> </w:t>
      </w:r>
      <w:r>
        <w:t xml:space="preserve">training code deduplicates on the feature vector first. Because the featuriser is stereo-blind,</w:t>
      </w:r>
      <w:r>
        <w:t xml:space="preserve"> </w:t>
      </w:r>
      <w:r>
        <w:t xml:space="preserve">stereoisomers and salt forms fold to byte-identical vectors, so the earlier split placed copies of one</w:t>
      </w:r>
      <w:r>
        <w:t xml:space="preserve"> </w:t>
      </w:r>
      <w:r>
        <w:t xml:space="preserve">compound on both sides and scored the model partly on rows it had memorised. The scale is visible in</w:t>
      </w:r>
      <w:r>
        <w:t xml:space="preserve"> </w:t>
      </w:r>
      <w:r>
        <w:t xml:space="preserve">the test-compound column: BBB was reported on 1,561 test compounds, a fifth of the 7,807 raw rows,</w:t>
      </w:r>
      <w:r>
        <w:t xml:space="preserve"> </w:t>
      </w:r>
      <w:r>
        <w:t xml:space="preserve">where the model is fitted on the 3,901 that survive deduplication, the figure Chapter 3 states.</w:t>
      </w:r>
      <w:r>
        <w:t xml:space="preserve"> </w:t>
      </w:r>
      <w:r>
        <w:t xml:space="preserve">Both numbers were in this thesis and nothing compared them.</w:t>
      </w:r>
    </w:p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a 0.90 target, and</w:t>
      </w:r>
      <w:r>
        <w:t xml:space="preserve"> </w:t>
      </w:r>
      <w:r>
        <w:rPr>
          <w:b/>
          <w:bCs/>
        </w:rPr>
        <w:t xml:space="preserve">four of the eight sit at or</w:t>
      </w:r>
      <w:r>
        <w:rPr>
          <w:b/>
          <w:bCs/>
        </w:rPr>
        <w:t xml:space="preserve"> </w:t>
      </w:r>
      <w:r>
        <w:rPr>
          <w:b/>
          <w:bCs/>
        </w:rPr>
        <w:t xml:space="preserve">above it</w:t>
      </w:r>
      <w:r>
        <w:t xml:space="preserve">, not six as the duplicated table suggested. Deduplication made the guarantee look worse</w:t>
      </w:r>
      <w:r>
        <w:t xml:space="preserve"> </w:t>
      </w:r>
      <w:r>
        <w:t xml:space="preserve">because the duplicates it removed were the easiest possible test rows. The lowest is GSK-3β at 0.876</w:t>
      </w:r>
      <w:r>
        <w:t xml:space="preserve"> </w:t>
      </w:r>
      <w:r>
        <w:t xml:space="preserve">and the highest AChE at 0.933; the spread is wider in both directions than before. The aggregate</w:t>
      </w:r>
      <w:r>
        <w:t xml:space="preserve"> </w:t>
      </w:r>
      <w:r>
        <w:t xml:space="preserve">statement survives, but it should now be made with a wider tolerance: when the server says the truth</w:t>
      </w:r>
      <w:r>
        <w:t xml:space="preserve"> </w:t>
      </w:r>
      <w:r>
        <w:t xml:space="preserve">is in the set nine times in ten, it is, to within about two or three parts in a hundred rather than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0.956 to 1.215</w:t>
      </w:r>
      <w:r>
        <w:t xml:space="preserve">, and the smallest figure is the one to look at, because a</w:t>
      </w:r>
      <w:r>
        <w:t xml:space="preserve"> </w:t>
      </w:r>
      <w:r>
        <w:t xml:space="preserve">mean below 1.0 is impossible if every prediction set is non-empty. On a two-class problem the mean is</w:t>
      </w:r>
    </w:p>
    <w:p>
      <w:pPr>
        <w:pStyle w:val="SourceCode"/>
      </w:pPr>
      <w:r>
        <w:rPr>
          <w:rStyle w:val="VerbatimChar"/>
        </w:rPr>
        <w:t xml:space="preserve">1 + P(ambiguous) - P(empty)</w:t>
      </w:r>
    </w:p>
    <w:p>
      <w:pPr>
        <w:pStyle w:val="FirstParagraph"/>
      </w:pPr>
      <w:r>
        <w:t xml:space="preserve">so the excess over 1.0 is the ambiguous fraction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empty fraction, and the two move it in</w:t>
      </w:r>
      <w:r>
        <w:t xml:space="preserve"> </w:t>
      </w:r>
      <w:r>
        <w:t xml:space="preserve">opposite directions. An earlier edition of this section read that excess as the proportion receiving</w:t>
      </w:r>
      <w:r>
        <w:t xml:space="preserve"> </w:t>
      </w:r>
      <w:r>
        <w:t xml:space="preserve">“an ambiguous or empty set”</w:t>
      </w:r>
      <w:r>
        <w:t xml:space="preserve">, which has the sign wrong on one of the two terms and is only valid when</w:t>
      </w:r>
      <w:r>
        <w:t xml:space="preserve"> </w:t>
      </w:r>
      <w:r>
        <w:t xml:space="preserve">no set is empty. Sets are empty: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 compounds and</w:t>
      </w:r>
      <w:r>
        <w:t xml:space="preserve"> </w:t>
      </w:r>
      <w:r>
        <w:t xml:space="preserve">GSK-3β for 0.9 per cent, which is why BACE1’s mean of 0.956 sits below one. The two counts are now</w:t>
      </w:r>
      <w:r>
        <w:t xml:space="preserve"> </w:t>
      </w:r>
      <w:r>
        <w:t xml:space="preserve">recorded separately in the artefact rather than left to be inferred from the mean with the wrong sign.</w:t>
      </w:r>
    </w:p>
    <w:p>
      <w:pPr>
        <w:pStyle w:val="BodyText"/>
      </w:pPr>
      <w:r>
        <w:t xml:space="preserve">Read correctly, the ambiguity is concentrated rather than uniform. Six of the eight endpoints are</w:t>
      </w:r>
      <w:r>
        <w:t xml:space="preserve"> </w:t>
      </w:r>
      <w:r>
        <w:t xml:space="preserve">ambiguous on under six per cent of compounds, and</w:t>
      </w:r>
      <w:r>
        <w:t xml:space="preserve"> </w:t>
      </w:r>
      <w:r>
        <w:rPr>
          <w:b/>
          <w:bCs/>
        </w:rPr>
        <w:t xml:space="preserve">BBB is ambiguous on 21.5 per cent</w:t>
      </w:r>
      <w:r>
        <w:t xml:space="preserve"> </w:t>
      </w:r>
      <w:r>
        <w:t xml:space="preserve">while</w:t>
      </w:r>
      <w:r>
        <w:t xml:space="preserve"> </w:t>
      </w:r>
      <w:r>
        <w:t xml:space="preserve">returning no empty sets at all. That the barrier model is the least decisive of the eight matters more</w:t>
      </w:r>
      <w:r>
        <w:t xml:space="preserve"> </w:t>
      </w:r>
      <w:r>
        <w:t xml:space="preserve">than the number alone, because it multiplies every disease score, so its ambiguity propagates into all</w:t>
      </w:r>
      <w:r>
        <w:t xml:space="preserve"> </w:t>
      </w:r>
      <w:r>
        <w:t xml:space="preserve">sixteen conditions. Chapter 10 returns to this: it is the same component that H10 finds hardest to</w:t>
      </w:r>
      <w:r>
        <w:t xml:space="preserve"> </w:t>
      </w:r>
      <w:r>
        <w:t xml:space="preserve">justify against a descriptor rule, and the worst calibrated of the eight.</w:t>
      </w:r>
    </w:p>
    <w:p>
      <w:pPr>
        <w:pStyle w:val="BodyText"/>
      </w:pPr>
      <w:r>
        <w:t xml:space="preserve">An empty set is not a failure of the method. It is the conformal predictor declining to name either</w:t>
      </w:r>
      <w:r>
        <w:t xml:space="preserve"> </w:t>
      </w:r>
      <w:r>
        <w:t xml:space="preserve">class at 90 per cent confidence, which is the behaviour the guarantee is built to produce and is</w:t>
      </w:r>
      <w:r>
        <w:t xml:space="preserve"> </w:t>
      </w:r>
      <w:r>
        <w:t xml:space="preserve">strictly more useful than a coin-flip probability. It does mean that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“informativeness”</w:t>
      </w:r>
      <w:r>
        <w:t xml:space="preserve"> </w:t>
      </w:r>
      <w:r>
        <w:t xml:space="preserve">must be read together: a predictor that always returned both classes would achieve perfect coverage</w:t>
      </w:r>
      <w:r>
        <w:t xml:space="preserve"> </w:t>
      </w:r>
      <w:r>
        <w:t xml:space="preserve">and say nothing, and one that always returned the empty set would say nothing and cover nothing.</w:t>
      </w:r>
    </w:p>
    <w:p>
      <w:pPr>
        <w:pStyle w:val="BodyText"/>
      </w:pPr>
      <w:r>
        <w:rPr>
          <w:b/>
          <w:bCs/>
        </w:rPr>
        <w:t xml:space="preserve">Under a scaffold split, the same measurement is markedly less decisive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results/tables/rf_conformal_scaffold.csv</w:t>
      </w:r>
      <w:r>
        <w:t xml:space="preserve">). Withholding whole Bemis-Murcko classes rather than</w:t>
      </w:r>
      <w:r>
        <w:t xml:space="preserve"> </w:t>
      </w:r>
      <w:r>
        <w:t xml:space="preserve">random rows, coverage runs 0.866 to 0.944 and mean set size 0.995 to 1.270, with BBB ambiguous on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of compounds against 21.5 on the random split, and AChE and MAO-A rising from 4.5</w:t>
      </w:r>
      <w:r>
        <w:t xml:space="preserve"> </w:t>
      </w:r>
      <w:r>
        <w:t xml:space="preserve">and 0.6 per cent to 19.0 and 26.6. This is the regime the server operates in, and the honest reading</w:t>
      </w:r>
      <w:r>
        <w:t xml:space="preserve"> </w:t>
      </w:r>
      <w:r>
        <w:t xml:space="preserve">is that roughly a quarter of barrier calls on unfamiliar chemistry are undecidable at 90 per cent</w:t>
      </w:r>
      <w:r>
        <w:t xml:space="preserve"> </w:t>
      </w:r>
      <w:r>
        <w:t xml:space="preserve">confidence. The random-split figures are reported first because they are the conventional estimate and</w:t>
      </w:r>
      <w:r>
        <w:t xml:space="preserve"> </w:t>
      </w:r>
      <w:r>
        <w:t xml:space="preserve">the one comparable with the published literature, not because they are the more relevant.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14"/>
    <w:bookmarkStart w:id="1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15"/>
    <w:bookmarkStart w:id="1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16"/>
    <w:bookmarkStart w:id="1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17"/>
    <w:bookmarkStart w:id="1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18"/>
    <w:bookmarkStart w:id="1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19"/>
    <w:bookmarkStart w:id="2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20"/>
    <w:bookmarkStart w:id="2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2026-09-07T06:27:49Z</dcterms:created>
  <dcterms:modified xsi:type="dcterms:W3CDTF">2026-09-07T06:27:49Z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