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0.793 on genuinely unseen approved drugs is a substantial drop from the 0.878 the</w:t>
      </w:r>
      <w:r>
        <w:t xml:space="preserve"> </w:t>
      </w:r>
      <w:r>
        <w:t xml:space="preserve">scaffold split reports, and it is the most honest single number in this thesis about the barrier</w:t>
      </w:r>
      <w:r>
        <w:t xml:space="preserve"> </w:t>
      </w:r>
      <w:r>
        <w:t xml:space="preserve">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t xml:space="preserve">And</w:t>
      </w:r>
      <w:r>
        <w:t xml:space="preserve"> </w:t>
      </w:r>
      <w:r>
        <w:rPr>
          <w:b/>
          <w:bCs/>
        </w:rPr>
        <w:t xml:space="preserve">the null models have no artefact.</w:t>
      </w:r>
      <w:r>
        <w:t xml:space="preserve"> </w:t>
      </w:r>
      <w:r>
        <w:t xml:space="preserve">The technical report states that with labels permuted the</w:t>
      </w:r>
      <w:r>
        <w:t xml:space="preserve"> </w:t>
      </w:r>
      <w:r>
        <w:t xml:space="preserve">same pipeline returns a mean AUROC of 0.4938 random and 0.4921 scaffold, and that an independent</w:t>
      </w:r>
      <w:r>
        <w:t xml:space="preserve"> </w:t>
      </w:r>
      <w:r>
        <w:t xml:space="preserve">re-run reproduced all 26 core values to within 4.7 × 10⁻⁵. Both figures are</w:t>
      </w:r>
      <w:r>
        <w:t xml:space="preserve"> </w:t>
      </w:r>
      <w:r>
        <w:rPr>
          <w:b/>
          <w:bCs/>
        </w:rPr>
        <w:t xml:space="preserve">hard-coded in the report</w:t>
      </w:r>
      <w:r>
        <w:rPr>
          <w:b/>
          <w:bCs/>
        </w:rPr>
        <w:t xml:space="preserve"> </w:t>
      </w:r>
      <w:r>
        <w:rPr>
          <w:b/>
          <w:bCs/>
        </w:rPr>
        <w:t xml:space="preserve">generator</w:t>
      </w:r>
      <w:r>
        <w:t xml:space="preserve">, and no file in the repository holds them. The label-permutation null is the single</w:t>
      </w:r>
      <w:r>
        <w:t xml:space="preserve"> </w:t>
      </w:r>
      <w:r>
        <w:t xml:space="preserve">strongest piece of evidence that the cross-validation is not inflated by leakage, and it is the one</w:t>
      </w:r>
      <w:r>
        <w:t xml:space="preserve"> </w:t>
      </w:r>
      <w:r>
        <w:t xml:space="preserve">claim in this chapter a reader cannot check. It should be regenerated into an artefact and declared,</w:t>
      </w:r>
      <w:r>
        <w:t xml:space="preserve"> </w:t>
      </w:r>
      <w:r>
        <w:t xml:space="preserve">and until it is, this thesis quotes it as reported rather than as verified.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2026-09-07T06:27:51Z</dcterms:created>
  <dcterms:modified xsi:type="dcterms:W3CDTF">2026-09-07T06:27:51Z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