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Xc3b0bb59f0fe7d0bbba8cce1050b444c3c94022"/>
    <w:p>
      <w:pPr>
        <w:pStyle w:val="Heading1"/>
      </w:pPr>
      <w:r>
        <w:t xml:space="preserve">Justification of the criteria, from collection to testing</w:t>
      </w:r>
    </w:p>
    <w:p>
      <w:pPr>
        <w:pStyle w:val="BlockText"/>
      </w:pPr>
      <w:r>
        <w:rPr>
          <w:b/>
          <w:bCs/>
        </w:rPr>
        <w:t xml:space="preserve">Provenance.</w:t>
      </w:r>
      <w:r>
        <w:t xml:space="preserve"> </w:t>
      </w:r>
      <w:r>
        <w:t xml:space="preserve">Every figure here was read from a file in this repository during the session in</w:t>
      </w:r>
      <w:r>
        <w:t xml:space="preserve"> </w:t>
      </w:r>
      <w:r>
        <w:t xml:space="preserve">which this was written. The quantitative claims are pinned by</w:t>
      </w:r>
      <w:r>
        <w:t xml:space="preserve"> </w:t>
      </w:r>
      <w:r>
        <w:rPr>
          <w:rStyle w:val="VerbatimChar"/>
        </w:rPr>
        <w:t xml:space="preserve">thesis/verify_chapter_numbers.py</w:t>
      </w:r>
      <w:r>
        <w:t xml:space="preserve"> </w:t>
      </w:r>
      <w:r>
        <w:t xml:space="preserve">under the key</w:t>
      </w:r>
      <w:r>
        <w:t xml:space="preserve"> </w:t>
      </w:r>
      <w:r>
        <w:rPr>
          <w:rStyle w:val="VerbatimChar"/>
        </w:rPr>
        <w:t xml:space="preserve">criteria</w:t>
      </w:r>
      <w:r>
        <w:t xml:space="preserve">.</w:t>
      </w:r>
    </w:p>
    <w:bookmarkStart w:id="9" w:name="Xd1ec553592b98de4913c7963c6b3bf1f0d7c311"/>
    <w:p>
      <w:pPr>
        <w:pStyle w:val="Heading2"/>
      </w:pPr>
      <w:r>
        <w:t xml:space="preserve">The standard this document holds itself to</w:t>
      </w:r>
    </w:p>
    <w:p>
      <w:pPr>
        <w:pStyle w:val="FirstParagraph"/>
      </w:pPr>
      <w:r>
        <w:t xml:space="preserve">A methods section that says</w:t>
      </w:r>
      <w:r>
        <w:t xml:space="preserve"> </w:t>
      </w:r>
      <w:r>
        <w:t xml:space="preserve">“we used a random forest with 300 trees”</w:t>
      </w:r>
      <w:r>
        <w:t xml:space="preserve"> </w:t>
      </w:r>
      <w:r>
        <w:t xml:space="preserve">has justified nothing. A</w:t>
      </w:r>
      <w:r>
        <w:t xml:space="preserve"> </w:t>
      </w:r>
      <w:r>
        <w:t xml:space="preserve">justification has to say why 300 and not 100, what the alternative would have cost, and whether the</w:t>
      </w:r>
      <w:r>
        <w:t xml:space="preserve"> </w:t>
      </w:r>
      <w:r>
        <w:t xml:space="preserve">answer was measured or assumed. The honest difficulty is that in any real pipeline the criteria fall</w:t>
      </w:r>
      <w:r>
        <w:t xml:space="preserve"> </w:t>
      </w:r>
      <w:r>
        <w:t xml:space="preserve">into four very different classes, and a document that presents them all in the same voice is</w:t>
      </w:r>
      <w:r>
        <w:t xml:space="preserve"> </w:t>
      </w:r>
      <w:r>
        <w:t xml:space="preserve">misleading whatever its individual sentences say.</w:t>
      </w:r>
    </w:p>
    <w:p>
      <w:pPr>
        <w:pStyle w:val="BodyText"/>
      </w:pPr>
      <w:r>
        <w:t xml:space="preserve">So every criterion below is labelled: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[MEASURED]</w:t>
            </w:r>
          </w:p>
        </w:tc>
        <w:tc>
          <w:tcPr/>
          <w:p>
            <w:pPr>
              <w:pStyle w:val="Compact"/>
            </w:pPr>
            <w:r>
              <w:t xml:space="preserve">Tested in this project against the alternative. The number is given.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[CONVENTION]</w:t>
            </w:r>
          </w:p>
        </w:tc>
        <w:tc>
          <w:tcPr/>
          <w:p>
            <w:pPr>
              <w:pStyle w:val="Compact"/>
            </w:pPr>
            <w:r>
              <w:t xml:space="preserve">Standard practice in the field, adopted deliberately, not tested here.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[FORCED]</w:t>
            </w:r>
          </w:p>
        </w:tc>
        <w:tc>
          <w:tcPr/>
          <w:p>
            <w:pPr>
              <w:pStyle w:val="Compact"/>
            </w:pPr>
            <w:r>
              <w:t xml:space="preserve">The data left no choice.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[DECLARED]</w:t>
            </w:r>
          </w:p>
        </w:tc>
        <w:tc>
          <w:tcPr/>
          <w:p>
            <w:pPr>
              <w:pStyle w:val="Compact"/>
            </w:pPr>
            <w:r>
              <w:t xml:space="preserve">A design decision with no evidence behind it. Stated as a choice, defensible, but not a finding.</w:t>
            </w:r>
          </w:p>
        </w:tc>
      </w:tr>
    </w:tbl>
    <w:p>
      <w:pPr>
        <w:pStyle w:val="BodyText"/>
      </w:pPr>
      <w:r>
        <w:t xml:space="preserve">There are more</w:t>
      </w:r>
      <w:r>
        <w:t xml:space="preserve"> </w:t>
      </w:r>
      <w:r>
        <w:rPr>
          <w:b/>
          <w:bCs/>
        </w:rPr>
        <w:t xml:space="preserve">[DECLARED]</w:t>
      </w:r>
      <w:r>
        <w:t xml:space="preserve"> </w:t>
      </w:r>
      <w:r>
        <w:t xml:space="preserve">entries than a reader might expect, and section 9 collects them</w:t>
      </w:r>
      <w:r>
        <w:t xml:space="preserve"> </w:t>
      </w:r>
      <w:r>
        <w:t xml:space="preserve">deliberately rather than leaving them scattered. The most important structural fact about this</w:t>
      </w:r>
      <w:r>
        <w:t xml:space="preserve"> </w:t>
      </w:r>
      <w:r>
        <w:t xml:space="preserve">pipeline is stated there:</w:t>
      </w:r>
      <w:r>
        <w:t xml:space="preserve"> </w:t>
      </w:r>
      <w:r>
        <w:rPr>
          <w:b/>
          <w:bCs/>
        </w:rPr>
        <w:t xml:space="preserve">no hyper-parameter search of any kind was run.</w:t>
      </w:r>
      <w:r>
        <w:t xml:space="preserve"> </w:t>
      </w:r>
      <w:r>
        <w:t xml:space="preserve">That has a cost and a</w:t>
      </w:r>
      <w:r>
        <w:t xml:space="preserve"> </w:t>
      </w:r>
      <w:r>
        <w:t xml:space="preserve">benefit, and both are argued.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8" w:name="part-1.-data-collection"/>
    <w:p>
      <w:pPr>
        <w:pStyle w:val="Heading1"/>
      </w:pPr>
      <w:r>
        <w:t xml:space="preserve">Part 1. Data collection</w:t>
      </w:r>
    </w:p>
    <w:bookmarkStart w:id="11" w:name="X12058e7abaf5d78459a07e647519fa51c8ffe01"/>
    <w:p>
      <w:pPr>
        <w:pStyle w:val="Heading2"/>
      </w:pPr>
      <w:r>
        <w:t xml:space="preserve">1.1 Two independent measured sources, pooled at the compound level —</w:t>
      </w:r>
      <w:r>
        <w:t xml:space="preserve"> </w:t>
      </w:r>
      <w:r>
        <w:rPr>
          <w:b/>
          <w:bCs/>
        </w:rPr>
        <w:t xml:space="preserve">[MEASURED]</w:t>
      </w:r>
    </w:p>
    <w:p>
      <w:pPr>
        <w:pStyle w:val="FirstParagraph"/>
      </w:pPr>
      <w:r>
        <w:t xml:space="preserve">ChEMBL and BindingDB are pooled for the protein targets. Each source contributes a per-compound</w:t>
      </w:r>
      <w:r>
        <w:t xml:space="preserve"> </w:t>
      </w:r>
      <w:r>
        <w:t xml:space="preserve">median potency, and the two are combined by InChIKey of the desalted parent. Nothing is imputed and</w:t>
      </w:r>
      <w:r>
        <w:t xml:space="preserve"> </w:t>
      </w:r>
      <w:r>
        <w:t xml:space="preserve">neither source overrides the other.</w:t>
      </w:r>
    </w:p>
    <w:p>
      <w:pPr>
        <w:pStyle w:val="BodyText"/>
      </w:pPr>
      <w:r>
        <w:rPr>
          <w:i/>
          <w:iCs/>
        </w:rPr>
        <w:t xml:space="preserve">Why two.</w:t>
      </w:r>
      <w:r>
        <w:t xml:space="preserve"> </w:t>
      </w:r>
      <w:r>
        <w:t xml:space="preserve">One source is a single point of failure for curation error, and the review asked for more</w:t>
      </w:r>
      <w:r>
        <w:t xml:space="preserve"> </w:t>
      </w:r>
      <w:r>
        <w:t xml:space="preserve">data. ChEMBL was verified near-complete for these targets, live totals within about 3 per cent of</w:t>
      </w:r>
      <w:r>
        <w:t xml:space="preserve"> </w:t>
      </w:r>
      <w:r>
        <w:t xml:space="preserve">what was held, so genuine growth required an independent source rather than a deeper query.</w:t>
      </w:r>
    </w:p>
    <w:p>
      <w:pPr>
        <w:pStyle w:val="BodyText"/>
      </w:pPr>
      <w:r>
        <w:rPr>
          <w:i/>
          <w:iCs/>
        </w:rPr>
        <w:t xml:space="preserve">Why this is not simply</w:t>
      </w:r>
      <w:r>
        <w:rPr>
          <w:i/>
          <w:iCs/>
        </w:rPr>
        <w:t xml:space="preserve"> </w:t>
      </w:r>
      <w:r>
        <w:rPr>
          <w:i/>
          <w:iCs/>
        </w:rPr>
        <w:t xml:space="preserve">“more data is better”</w:t>
      </w:r>
      <w:r>
        <w:rPr>
          <w:i/>
          <w:iCs/>
        </w:rPr>
        <w:t xml:space="preserve">.</w:t>
      </w:r>
      <w:r>
        <w:t xml:space="preserve"> </w:t>
      </w:r>
      <w:r>
        <w:t xml:space="preserve">BindingDB’s affinity export returns actives, so adding</w:t>
      </w:r>
      <w:r>
        <w:t xml:space="preserve"> </w:t>
      </w:r>
      <w:r>
        <w:t xml:space="preserve">it could have inflated performance by enriching the positive class. That was audited rather than</w:t>
      </w:r>
      <w:r>
        <w:t xml:space="preserve"> </w:t>
      </w:r>
      <w:r>
        <w:t xml:space="preserve">assumed: against the ChEMBL-only baseline the scaffold-split headline metric moved by a mean of</w:t>
      </w:r>
      <w:r>
        <w:t xml:space="preserve"> </w:t>
      </w:r>
      <w:r>
        <w:rPr>
          <w:b/>
          <w:bCs/>
        </w:rPr>
        <w:t xml:space="preserve">−0.0002</w:t>
      </w:r>
      <w:r>
        <w:t xml:space="preserve">, range −0.015 to +0.013. The addition neither inflates nor degrades. A2A gained most,</w:t>
      </w:r>
      <w:r>
        <w:t xml:space="preserve"> </w:t>
      </w:r>
      <w:r>
        <w:t xml:space="preserve">+0.013 R² on 1,238 extra compounds.</w:t>
      </w:r>
    </w:p>
    <w:p>
      <w:pPr>
        <w:pStyle w:val="BodyText"/>
      </w:pPr>
      <w:r>
        <w:rPr>
          <w:i/>
          <w:iCs/>
        </w:rPr>
        <w:t xml:space="preserve">What it cost.</w:t>
      </w:r>
      <w:r>
        <w:t xml:space="preserve"> </w:t>
      </w:r>
      <w:r>
        <w:t xml:space="preserve">hERG remained ChEMBL-only because BindingDB rate-limited the harvest. That asymmetry</w:t>
      </w:r>
      <w:r>
        <w:t xml:space="preserve"> </w:t>
      </w:r>
      <w:r>
        <w:t xml:space="preserve">is real and is declared rather than smoothed over.</w:t>
      </w:r>
    </w:p>
    <w:bookmarkEnd w:id="11"/>
    <w:bookmarkStart w:id="12" w:name="Xaec40c9d952a6d504e7eb5fcf1b03432f4cff47"/>
    <w:p>
      <w:pPr>
        <w:pStyle w:val="Heading2"/>
      </w:pPr>
      <w:r>
        <w:t xml:space="preserve">1.2 Potency measurements only: IC50, Ki, Kd, EC50 —</w:t>
      </w:r>
      <w:r>
        <w:t xml:space="preserve"> </w:t>
      </w:r>
      <w:r>
        <w:rPr>
          <w:b/>
          <w:bCs/>
        </w:rPr>
        <w:t xml:space="preserve">[CONVENTION]</w:t>
      </w:r>
    </w:p>
    <w:p>
      <w:pPr>
        <w:pStyle w:val="FirstParagraph"/>
      </w:pPr>
      <w:r>
        <w:t xml:space="preserve">These four are the measurement types that can be placed on one comparable affinity scale. Percentage</w:t>
      </w:r>
      <w:r>
        <w:t xml:space="preserve"> </w:t>
      </w:r>
      <w:r>
        <w:t xml:space="preserve">inhibition at a single concentration, thermal shift and similar readouts cannot, because they depend</w:t>
      </w:r>
      <w:r>
        <w:t xml:space="preserve"> </w:t>
      </w:r>
      <w:r>
        <w:t xml:space="preserve">on assay conditions that are not recorded uniformly. Including them would mean pooling quantities</w:t>
      </w:r>
      <w:r>
        <w:t xml:space="preserve"> </w:t>
      </w:r>
      <w:r>
        <w:t xml:space="preserve">that are not the same quantity.</w:t>
      </w:r>
    </w:p>
    <w:bookmarkEnd w:id="12"/>
    <w:bookmarkStart w:id="13" w:name="the-pchembl-scale-convention"/>
    <w:p>
      <w:pPr>
        <w:pStyle w:val="Heading2"/>
      </w:pPr>
      <w:r>
        <w:t xml:space="preserve">1.3 The pChEMBL scale —</w:t>
      </w:r>
      <w:r>
        <w:t xml:space="preserve"> </w:t>
      </w:r>
      <w:r>
        <w:rPr>
          <w:b/>
          <w:bCs/>
        </w:rPr>
        <w:t xml:space="preserve">[CONVENTION]</w:t>
      </w:r>
    </w:p>
    <w:p>
      <w:pPr>
        <w:pStyle w:val="FirstParagraph"/>
      </w:pPr>
      <w:r>
        <w:t xml:space="preserve">All potencies are handled as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</m:oMath>
      <w:r>
        <w:t xml:space="preserve"> </w:t>
      </w:r>
      <w:r>
        <w:t xml:space="preserve">of the molar value. Two reasons, and the second is the one</w:t>
      </w:r>
      <w:r>
        <w:t xml:space="preserve"> </w:t>
      </w:r>
      <w:r>
        <w:t xml:space="preserve">usually left unsaid. It makes IC50, Ki, Kd and EC50 numerically comparable; and affinity is</w:t>
      </w:r>
      <w:r>
        <w:t xml:space="preserve"> </w:t>
      </w:r>
      <w:r>
        <w:t xml:space="preserve">log-distributed, so a linear scale would let a handful of nanomolar compounds dominate any mean or</w:t>
      </w:r>
      <w:r>
        <w:t xml:space="preserve"> </w:t>
      </w:r>
      <w:r>
        <w:t xml:space="preserve">any regression loss.</w:t>
      </w:r>
    </w:p>
    <w:bookmarkEnd w:id="13"/>
    <w:bookmarkStart w:id="14" w:name="median-across-replicates-convention"/>
    <w:p>
      <w:pPr>
        <w:pStyle w:val="Heading2"/>
      </w:pPr>
      <w:r>
        <w:t xml:space="preserve">1.4 Median across replicates —</w:t>
      </w:r>
      <w:r>
        <w:t xml:space="preserve"> </w:t>
      </w:r>
      <w:r>
        <w:rPr>
          <w:b/>
          <w:bCs/>
        </w:rPr>
        <w:t xml:space="preserve">[CONVENTION]</w:t>
      </w:r>
    </w:p>
    <w:p>
      <w:pPr>
        <w:pStyle w:val="FirstParagraph"/>
      </w:pPr>
      <w:r>
        <w:t xml:space="preserve">A compound measured many times against one target contributes its per-source median. The median</w:t>
      </w:r>
      <w:r>
        <w:t xml:space="preserve"> </w:t>
      </w:r>
      <w:r>
        <w:t xml:space="preserve">rather than the mean because public bioactivity data contains transcription errors and unit mistakes,</w:t>
      </w:r>
      <w:r>
        <w:t xml:space="preserve"> </w:t>
      </w:r>
      <w:r>
        <w:t xml:space="preserve">which are outliers, and the median is insensitive to them.</w:t>
      </w:r>
    </w:p>
    <w:bookmarkEnd w:id="14"/>
    <w:bookmarkStart w:id="15" w:name="X7ee6b43d1881b3a23b61b4468a64f0f0028dae8"/>
    <w:p>
      <w:pPr>
        <w:pStyle w:val="Heading2"/>
      </w:pPr>
      <w:r>
        <w:t xml:space="preserve">1.5 Censored bounds recovered, with an asymmetric rule —</w:t>
      </w:r>
      <w:r>
        <w:t xml:space="preserve"> </w:t>
      </w:r>
      <w:r>
        <w:rPr>
          <w:b/>
          <w:bCs/>
        </w:rPr>
        <w:t xml:space="preserve">[DECLARED]</w:t>
      </w:r>
      <w:r>
        <w:t xml:space="preserve">, and the reasoning is the justification</w:t>
      </w:r>
    </w:p>
    <w:p>
      <w:pPr>
        <w:pStyle w:val="FirstParagraph"/>
      </w:pPr>
      <w:r>
        <w:t xml:space="preserve">A compound tested and found inactive is often deposited as an inequality,</w:t>
      </w:r>
      <w:r>
        <w:t xml:space="preserve"> </w:t>
      </w:r>
      <w:r>
        <w:t xml:space="preserve">“IC50 &gt; 10 µM”</w:t>
      </w:r>
      <w:r>
        <w:t xml:space="preserve">, rather than</w:t>
      </w:r>
      <w:r>
        <w:t xml:space="preserve"> </w:t>
      </w:r>
      <w:r>
        <w:t xml:space="preserve">a number. The conventional query for a numeric potency discards exactly those rows, which throws away</w:t>
      </w:r>
      <w:r>
        <w:t xml:space="preserve"> </w:t>
      </w:r>
      <w:r>
        <w:t xml:space="preserve">the measured negatives and leaves a model learning actives against decoys.</w:t>
      </w:r>
    </w:p>
    <w:p>
      <w:pPr>
        <w:pStyle w:val="BodyText"/>
      </w:pPr>
      <w:r>
        <w:t xml:space="preserve">Two rules, and the asymmetry between them is deliberate: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bound settles a label only when the whole interval falls one side of the activity cut.</w:t>
      </w:r>
      <w:r>
        <w:t xml:space="preserve"> </w:t>
      </w:r>
      <w:r>
        <w:t xml:space="preserve">One</w:t>
      </w:r>
      <w:r>
        <w:t xml:space="preserve"> </w:t>
      </w:r>
      <w:r>
        <w:t xml:space="preserve">that spans the cut is undecidable and is discarded. This is the conservative choice; the</w:t>
      </w:r>
      <w:r>
        <w:t xml:space="preserve"> </w:t>
      </w:r>
      <w:r>
        <w:t xml:space="preserve">alternative, taking the bound at face value, would manufacture labels the experiment did not</w:t>
      </w:r>
      <w:r>
        <w:t xml:space="preserve"> </w:t>
      </w:r>
      <w:r>
        <w:t xml:space="preserve">support.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Bounds aggregate by minimum where exact values aggregate by median</w:t>
      </w:r>
      <w:r>
        <w:t xml:space="preserve"> </w:t>
      </w:r>
      <w:r>
        <w:t xml:space="preserve">(</w:t>
      </w:r>
      <w:r>
        <w:rPr>
          <w:rStyle w:val="VerbatimChar"/>
        </w:rPr>
        <w:t xml:space="preserve">rebuild_endpoints.py:136</w:t>
      </w:r>
      <w:r>
        <w:t xml:space="preserve"> </w:t>
      </w:r>
      <w:r>
        <w:t xml:space="preserve">against</w:t>
      </w:r>
      <w:r>
        <w:t xml:space="preserve"> </w:t>
      </w:r>
      <w:r>
        <w:rPr>
          <w:rStyle w:val="VerbatimChar"/>
        </w:rPr>
        <w:t xml:space="preserve">:110</w:t>
      </w:r>
      <w:r>
        <w:t xml:space="preserve">). A bound is an upper limit on potency, so across</w:t>
      </w:r>
      <w:r>
        <w:t xml:space="preserve"> </w:t>
      </w:r>
      <w:r>
        <w:t xml:space="preserve">several bounds the weakest is the only one every measurement agrees with.</w:t>
      </w:r>
    </w:p>
    <w:p>
      <w:pPr>
        <w:pStyle w:val="FirstParagraph"/>
      </w:pPr>
      <w:r>
        <w:rPr>
          <w:i/>
          <w:iCs/>
        </w:rPr>
        <w:t xml:space="preserve">The evidence that this matters</w:t>
      </w:r>
      <w:r>
        <w:t xml:space="preserve">:</w:t>
      </w:r>
      <w:r>
        <w:t xml:space="preserve"> </w:t>
      </w:r>
      <w:r>
        <w:rPr>
          <w:b/>
          <w:bCs/>
        </w:rPr>
        <w:t xml:space="preserve">14,420 rows sit at pChEMBL exactly 5.0 with label 0</w:t>
      </w:r>
      <w:r>
        <w:t xml:space="preserve">. 5.0 is</w:t>
      </w:r>
      <w:r>
        <w:t xml:space="preserve"> </w:t>
      </w:r>
      <w:r>
        <w:t xml:space="preserve">10 µM, the standard inactive bound. Those are measured negatives that a numeric-only query would have</w:t>
      </w:r>
      <w:r>
        <w:t xml:space="preserve"> </w:t>
      </w:r>
      <w:r>
        <w:t xml:space="preserve">lost.</w:t>
      </w:r>
    </w:p>
    <w:bookmarkEnd w:id="15"/>
    <w:bookmarkStart w:id="16" w:name="X9424207a0f88561059751055e6f5e1f4bf16c7d"/>
    <w:p>
      <w:pPr>
        <w:pStyle w:val="Heading2"/>
      </w:pPr>
      <w:r>
        <w:t xml:space="preserve">1.6 Measured labels only, never curated annotation —</w:t>
      </w:r>
      <w:r>
        <w:t xml:space="preserve"> </w:t>
      </w:r>
      <w:r>
        <w:rPr>
          <w:b/>
          <w:bCs/>
        </w:rPr>
        <w:t xml:space="preserve">[MEASURED]</w:t>
      </w:r>
      <w:r>
        <w:t xml:space="preserve">, and this one is a scar</w:t>
      </w:r>
    </w:p>
    <w:p>
      <w:pPr>
        <w:pStyle w:val="FirstParagraph"/>
      </w:pPr>
      <w:r>
        <w:t xml:space="preserve">Every supervised endpoint is trained on measured bioactivity. Not on qualitative annotation, not on</w:t>
      </w:r>
      <w:r>
        <w:t xml:space="preserve"> </w:t>
      </w:r>
      <w:r>
        <w:t xml:space="preserve">disease association, not on anything derived from the same knowledge that built the pathway graph.</w:t>
      </w:r>
    </w:p>
    <w:p>
      <w:pPr>
        <w:pStyle w:val="BodyText"/>
      </w:pPr>
      <w:r>
        <w:rPr>
          <w:i/>
          <w:iCs/>
        </w:rPr>
        <w:t xml:space="preserve">Why the rule exists.</w:t>
      </w:r>
      <w:r>
        <w:t xml:space="preserve"> </w:t>
      </w:r>
      <w:r>
        <w:t xml:space="preserve">An earlier prototype trained on curated annotation scores. Feature ablation</w:t>
      </w:r>
      <w:r>
        <w:t xml:space="preserve"> </w:t>
      </w:r>
      <w:r>
        <w:t xml:space="preserve">showed it was reading the answer back out of the disease-association features rather than learning</w:t>
      </w:r>
      <w:r>
        <w:t xml:space="preserve"> </w:t>
      </w:r>
      <w:r>
        <w:t xml:space="preserve">from structure: with structure alone its performance</w:t>
      </w:r>
      <w:r>
        <w:t xml:space="preserve"> </w:t>
      </w:r>
      <w:r>
        <w:rPr>
          <w:b/>
          <w:bCs/>
        </w:rPr>
        <w:t xml:space="preserve">collapsed to near zero</w:t>
      </w:r>
      <w:r>
        <w:t xml:space="preserve">. The rule is the</w:t>
      </w:r>
      <w:r>
        <w:t xml:space="preserve"> </w:t>
      </w:r>
      <w:r>
        <w:t xml:space="preserve">scar tissue from that, and it is the reason the disease layer in this system is a separate,</w:t>
      </w:r>
      <w:r>
        <w:t xml:space="preserve"> </w:t>
      </w:r>
      <w:r>
        <w:t xml:space="preserve">non-learned graph rather than a trained model. If the graph were trained on the same annotations that</w:t>
      </w:r>
      <w:r>
        <w:t xml:space="preserve"> </w:t>
      </w:r>
      <w:r>
        <w:t xml:space="preserve">define the conditions, every disease result would be circular.</w:t>
      </w:r>
    </w:p>
    <w:bookmarkEnd w:id="16"/>
    <w:bookmarkStart w:id="17" w:name="X776cef6d5d229c97fb7f33844feb53b7375a47e"/>
    <w:p>
      <w:pPr>
        <w:pStyle w:val="Heading2"/>
      </w:pPr>
      <w:r>
        <w:t xml:space="preserve">1.7 Bulk high-throughput inactives tested and</w:t>
      </w:r>
      <w:r>
        <w:t xml:space="preserve"> </w:t>
      </w:r>
      <w:r>
        <w:rPr>
          <w:b/>
          <w:bCs/>
        </w:rPr>
        <w:t xml:space="preserve">rejected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[MEASURED]</w:t>
      </w:r>
    </w:p>
    <w:p>
      <w:pPr>
        <w:pStyle w:val="FirstParagraph"/>
      </w:pPr>
      <w:r>
        <w:t xml:space="preserve">This is the strongest single justification in the document, because the decision went against the</w:t>
      </w:r>
      <w:r>
        <w:t xml:space="preserve"> </w:t>
      </w:r>
      <w:r>
        <w:t xml:space="preserve">obvious move.</w:t>
      </w:r>
    </w:p>
    <w:p>
      <w:pPr>
        <w:pStyle w:val="BodyText"/>
      </w:pPr>
      <w:r>
        <w:t xml:space="preserve">Adding 4,276 measured PubChem inactives to GSK-3β, the worst-skewed endpoint at 93 per cent active,</w:t>
      </w:r>
      <w:r>
        <w:t xml:space="preserve"> </w:t>
      </w:r>
      <w:r>
        <w:t xml:space="preserve">corrected the predicted DrugBank base rate from 71.6 per cent to 16.4 per cent, which is a genuine</w:t>
      </w:r>
      <w:r>
        <w:t xml:space="preserve"> </w:t>
      </w:r>
      <w:r>
        <w:t xml:space="preserve">improvement. It also raised scaffold AUROC from</w:t>
      </w:r>
      <w:r>
        <w:t xml:space="preserve"> </w:t>
      </w:r>
      <w:r>
        <w:rPr>
          <w:b/>
          <w:bCs/>
        </w:rPr>
        <w:t xml:space="preserve">0.9369 to 0.9891</w:t>
      </w:r>
      <w:r>
        <w:t xml:space="preserve">.</w:t>
      </w:r>
    </w:p>
    <w:p>
      <w:pPr>
        <w:pStyle w:val="BodyText"/>
      </w:pPr>
      <w:r>
        <w:t xml:space="preserve">That second number is why the change was reverted. The added negatives have a</w:t>
      </w:r>
      <w:r>
        <w:t xml:space="preserve"> </w:t>
      </w:r>
      <w:r>
        <w:rPr>
          <w:b/>
          <w:bCs/>
        </w:rPr>
        <w:t xml:space="preserve">median Tanimoto of</w:t>
      </w:r>
      <w:r>
        <w:rPr>
          <w:b/>
          <w:bCs/>
        </w:rPr>
        <w:t xml:space="preserve"> </w:t>
      </w:r>
      <w:r>
        <w:rPr>
          <w:b/>
          <w:bCs/>
        </w:rPr>
        <w:t xml:space="preserve">0.288 to the actives</w:t>
      </w:r>
      <w:r>
        <w:t xml:space="preserve">: they are chemically unlike inhibitors, so the model is separating</w:t>
      </w:r>
      <w:r>
        <w:t xml:space="preserve"> </w:t>
      </w:r>
      <w:r>
        <w:t xml:space="preserve">“looks like</w:t>
      </w:r>
      <w:r>
        <w:t xml:space="preserve"> </w:t>
      </w:r>
      <w:r>
        <w:t xml:space="preserve">a kinase inhibitor”</w:t>
      </w:r>
      <w:r>
        <w:t xml:space="preserve"> </w:t>
      </w:r>
      <w:r>
        <w:t xml:space="preserve">from</w:t>
      </w:r>
      <w:r>
        <w:t xml:space="preserve"> </w:t>
      </w:r>
      <w:r>
        <w:t xml:space="preserve">“does not”</w:t>
      </w:r>
      <w:r>
        <w:t xml:space="preserve">, which is an easy-negative artefact and not discrimination. The</w:t>
      </w:r>
      <w:r>
        <w:t xml:space="preserve"> </w:t>
      </w:r>
      <w:r>
        <w:t xml:space="preserve">honest estimate stays 0.9369. The base-rate skew is handled instead by calibration and the</w:t>
      </w:r>
      <w:r>
        <w:t xml:space="preserve"> </w:t>
      </w:r>
      <w:r>
        <w:t xml:space="preserve">applicability flag, and disclosed as a data limitation.</w:t>
      </w:r>
    </w:p>
    <w:p>
      <w:pPr>
        <w:pStyle w:val="BodyText"/>
      </w:pPr>
      <w:r>
        <w:rPr>
          <w:i/>
          <w:iCs/>
        </w:rPr>
        <w:t xml:space="preserve">The principle generalised</w:t>
      </w:r>
      <w:r>
        <w:t xml:space="preserve">: a change that improves a metric is not thereby an improvement. The</w:t>
      </w:r>
      <w:r>
        <w:t xml:space="preserve"> </w:t>
      </w:r>
      <w:r>
        <w:t xml:space="preserve">correct future approach is stated in the log as similarity-matched hard negatives only, which is</w:t>
      </w:r>
      <w:r>
        <w:t xml:space="preserve"> </w:t>
      </w:r>
      <w:r>
        <w:t xml:space="preserve">precisely what the binder panel’s hybrid scheme (section 5.4) later implemented.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4" w:name="part-2.-labelling-criteria"/>
    <w:p>
      <w:pPr>
        <w:pStyle w:val="Heading1"/>
      </w:pPr>
      <w:r>
        <w:t xml:space="preserve">Part 2. Labelling criteria</w:t>
      </w:r>
    </w:p>
    <w:bookmarkStart w:id="19" w:name="active-at-pchembl-6.0-convention"/>
    <w:p>
      <w:pPr>
        <w:pStyle w:val="Heading2"/>
      </w:pPr>
      <w:r>
        <w:t xml:space="preserve">2.1 Active at pChEMBL ≥ 6.0 —</w:t>
      </w:r>
      <w:r>
        <w:t xml:space="preserve"> </w:t>
      </w:r>
      <w:r>
        <w:rPr>
          <w:b/>
          <w:bCs/>
        </w:rPr>
        <w:t xml:space="preserve">[CONVENTION]</w:t>
      </w:r>
    </w:p>
    <w:p>
      <w:pPr>
        <w:pStyle w:val="FirstParagraph"/>
      </w:pPr>
      <w:r>
        <w:t xml:space="preserve">pChEMBL 6.0 is 1 µM. It is the conventional boundary at which a compound is treated as active in</w:t>
      </w:r>
      <w:r>
        <w:t xml:space="preserve"> </w:t>
      </w:r>
      <w:r>
        <w:t xml:space="preserve">medicinal chemistry, and it is the point below which a hit is not usually worth progressing.</w:t>
      </w:r>
    </w:p>
    <w:bookmarkEnd w:id="19"/>
    <w:bookmarkStart w:id="20" w:name="inactive-below-pchembl-5.0-convention"/>
    <w:p>
      <w:pPr>
        <w:pStyle w:val="Heading2"/>
      </w:pPr>
      <w:r>
        <w:t xml:space="preserve">2.2 Inactive below pChEMBL 5.0 —</w:t>
      </w:r>
      <w:r>
        <w:t xml:space="preserve"> </w:t>
      </w:r>
      <w:r>
        <w:rPr>
          <w:b/>
          <w:bCs/>
        </w:rPr>
        <w:t xml:space="preserve">[CONVENTION]</w:t>
      </w:r>
    </w:p>
    <w:p>
      <w:pPr>
        <w:pStyle w:val="FirstParagraph"/>
      </w:pPr>
      <w:r>
        <w:t xml:space="preserve">5.0 is 10 µM, the concentration at which a compound is conventionally called inactive and the ceiling</w:t>
      </w:r>
      <w:r>
        <w:t xml:space="preserve"> </w:t>
      </w:r>
      <w:r>
        <w:t xml:space="preserve">of most screening assays, which is why so many censored bounds sit exactly there.</w:t>
      </w:r>
    </w:p>
    <w:bookmarkEnd w:id="20"/>
    <w:bookmarkStart w:id="21" w:name="the-56-grey-zone-discarded-declared"/>
    <w:p>
      <w:pPr>
        <w:pStyle w:val="Heading2"/>
      </w:pPr>
      <w:r>
        <w:t xml:space="preserve">2.3 The 5–6 grey zone discarded —</w:t>
      </w:r>
      <w:r>
        <w:t xml:space="preserve"> </w:t>
      </w:r>
      <w:r>
        <w:rPr>
          <w:b/>
          <w:bCs/>
        </w:rPr>
        <w:t xml:space="preserve">[DECLARED]</w:t>
      </w:r>
    </w:p>
    <w:p>
      <w:pPr>
        <w:pStyle w:val="FirstParagraph"/>
      </w:pPr>
      <w:r>
        <w:rPr>
          <w:rStyle w:val="VerbatimChar"/>
        </w:rPr>
        <w:t xml:space="preserve">label_from</w:t>
      </w:r>
      <w:r>
        <w:t xml:space="preserve"> </w:t>
      </w:r>
      <w:r>
        <w:t xml:space="preserve">returns −1 for anything in [5.0, 6.0) and those rows are dropped.</w:t>
      </w:r>
    </w:p>
    <w:p>
      <w:pPr>
        <w:pStyle w:val="BodyText"/>
      </w:pPr>
      <w:r>
        <w:rPr>
          <w:i/>
          <w:iCs/>
        </w:rPr>
        <w:t xml:space="preserve">The argument.</w:t>
      </w:r>
      <w:r>
        <w:t xml:space="preserve"> </w:t>
      </w:r>
      <w:r>
        <w:t xml:space="preserve">A compound at 300 nM is neither confidently active nor confidently inactive. Forcing</w:t>
      </w:r>
      <w:r>
        <w:t xml:space="preserve"> </w:t>
      </w:r>
      <w:r>
        <w:t xml:space="preserve">it into either class teaches the model a boundary the data does not support, and because</w:t>
      </w:r>
      <w:r>
        <w:t xml:space="preserve"> </w:t>
      </w:r>
      <w:r>
        <w:t xml:space="preserve">assay-to-assay variability on public data is itself of the order of half a log unit, the grey zone is</w:t>
      </w:r>
      <w:r>
        <w:t xml:space="preserve"> </w:t>
      </w:r>
      <w:r>
        <w:t xml:space="preserve">roughly the width of the measurement error.</w:t>
      </w:r>
    </w:p>
    <w:p>
      <w:pPr>
        <w:pStyle w:val="BodyText"/>
      </w:pPr>
      <w:r>
        <w:rPr>
          <w:i/>
          <w:iCs/>
        </w:rPr>
        <w:t xml:space="preserve">The cost, stated honestly.</w:t>
      </w:r>
      <w:r>
        <w:t xml:space="preserve"> </w:t>
      </w:r>
      <w:r>
        <w:t xml:space="preserve">Discarding a band of the data reduces the training set and removes the</w:t>
      </w:r>
      <w:r>
        <w:t xml:space="preserve"> </w:t>
      </w:r>
      <w:r>
        <w:t xml:space="preserve">examples nearest the decision boundary, which are the informative ones for a margin-based learner.</w:t>
      </w:r>
      <w:r>
        <w:t xml:space="preserve"> </w:t>
      </w:r>
      <w:r>
        <w:t xml:space="preserve">This is a trade and not a free choice. The alternative — a soft or ordinal label — was not tried.</w:t>
      </w:r>
    </w:p>
    <w:bookmarkEnd w:id="21"/>
    <w:bookmarkStart w:id="22" w:name="Xfd4cce7ed1f662111b2dfe719626220c97784d0"/>
    <w:p>
      <w:pPr>
        <w:pStyle w:val="Heading2"/>
      </w:pPr>
      <w:r>
        <w:t xml:space="preserve">2.4 The binder panel’s stricter cut at pChEMBL ≥ 7.0 —</w:t>
      </w:r>
      <w:r>
        <w:t xml:space="preserve"> </w:t>
      </w:r>
      <w:r>
        <w:rPr>
          <w:b/>
          <w:bCs/>
        </w:rPr>
        <w:t xml:space="preserve">[DECLARED]</w:t>
      </w:r>
    </w:p>
    <w:p>
      <w:pPr>
        <w:pStyle w:val="FirstParagraph"/>
      </w:pPr>
      <w:r>
        <w:rPr>
          <w:rStyle w:val="VerbatimChar"/>
        </w:rPr>
        <w:t xml:space="preserve">train_binders_hybrid.py:57</w:t>
      </w:r>
      <w:r>
        <w:t xml:space="preserve"> </w:t>
      </w:r>
      <w:r>
        <w:t xml:space="preserve">selects actives at 7.0, 100 nM, not 6.0.</w:t>
      </w:r>
    </w:p>
    <w:p>
      <w:pPr>
        <w:pStyle w:val="BodyText"/>
      </w:pPr>
      <w:r>
        <w:rPr>
          <w:i/>
          <w:iCs/>
        </w:rPr>
        <w:t xml:space="preserve">Why stricter.</w:t>
      </w:r>
      <w:r>
        <w:t xml:space="preserve"> </w:t>
      </w:r>
      <w:r>
        <w:t xml:space="preserve">The core classifiers learn actives against</w:t>
      </w:r>
      <w:r>
        <w:t xml:space="preserve"> </w:t>
      </w:r>
      <w:r>
        <w:rPr>
          <w:b/>
          <w:bCs/>
        </w:rPr>
        <w:t xml:space="preserve">measured</w:t>
      </w:r>
      <w:r>
        <w:t xml:space="preserve"> </w:t>
      </w:r>
      <w:r>
        <w:t xml:space="preserve">inactives. The binder panel</w:t>
      </w:r>
      <w:r>
        <w:t xml:space="preserve"> </w:t>
      </w:r>
      <w:r>
        <w:t xml:space="preserve">learns actives against negatives that are largely</w:t>
      </w:r>
      <w:r>
        <w:t xml:space="preserve"> </w:t>
      </w:r>
      <w:r>
        <w:rPr>
          <w:b/>
          <w:bCs/>
        </w:rPr>
        <w:t xml:space="preserve">presumed</w:t>
      </w:r>
      <w:r>
        <w:t xml:space="preserve">, being decoys drawn from background</w:t>
      </w:r>
      <w:r>
        <w:t xml:space="preserve"> </w:t>
      </w:r>
      <w:r>
        <w:t xml:space="preserve">chemistry. When the negative class is presumed rather than measured, the positive class has to carry</w:t>
      </w:r>
      <w:r>
        <w:t xml:space="preserve"> </w:t>
      </w:r>
      <w:r>
        <w:t xml:space="preserve">more of the burden of being right, so only high-confidence actives are used.</w:t>
      </w:r>
    </w:p>
    <w:p>
      <w:pPr>
        <w:pStyle w:val="BodyText"/>
      </w:pPr>
      <w:r>
        <w:t xml:space="preserve">This is the correct reading of the two cuts, and it is a question to expect. They are not</w:t>
      </w:r>
      <w:r>
        <w:t xml:space="preserve"> </w:t>
      </w:r>
      <w:r>
        <w:t xml:space="preserve">inconsistent; they belong to two different learning problems.</w:t>
      </w:r>
    </w:p>
    <w:bookmarkEnd w:id="22"/>
    <w:bookmarkStart w:id="23" w:name="X05a4639af33d3e805c8571e3f260c8d0a1a59b0"/>
    <w:p>
      <w:pPr>
        <w:pStyle w:val="Heading2"/>
      </w:pPr>
      <w:r>
        <w:t xml:space="preserve">2.5 Classification for eight endpoints, regression for five —</w:t>
      </w:r>
      <w:r>
        <w:t xml:space="preserve"> </w:t>
      </w:r>
      <w:r>
        <w:rPr>
          <w:b/>
          <w:bCs/>
        </w:rPr>
        <w:t xml:space="preserve">[FORCED]</w:t>
      </w:r>
    </w:p>
    <w:p>
      <w:pPr>
        <w:pStyle w:val="FirstParagraph"/>
      </w:pPr>
      <w:r>
        <w:t xml:space="preserve">D2, A2A, 5-HT2A and SERT are modelled as potency regression rather than binary classification,</w:t>
      </w:r>
      <w:r>
        <w:t xml:space="preserve"> </w:t>
      </w:r>
      <w:r>
        <w:t xml:space="preserve">because their ChEMBL sets are</w:t>
      </w:r>
      <w:r>
        <w:t xml:space="preserve"> </w:t>
      </w:r>
      <w:r>
        <w:rPr>
          <w:b/>
          <w:bCs/>
        </w:rPr>
        <w:t xml:space="preserve">96 to 98 per cent active</w:t>
      </w:r>
      <w:r>
        <w:t xml:space="preserve"> </w:t>
      </w:r>
      <w:r>
        <w:t xml:space="preserve">— only binders get reported for a</w:t>
      </w:r>
      <w:r>
        <w:t xml:space="preserve"> </w:t>
      </w:r>
      <w:r>
        <w:t xml:space="preserve">well-studied receptor. A binary task on such a set is ill-posed: Matthews correlation ran 0.21 to 0.44</w:t>
      </w:r>
      <w:r>
        <w:t xml:space="preserve"> </w:t>
      </w:r>
      <w:r>
        <w:t xml:space="preserve">and failed the deployment quality gate. Regression on pChEMBL is the appropriate task for that data</w:t>
      </w:r>
      <w:r>
        <w:t xml:space="preserve"> </w:t>
      </w:r>
      <w:r>
        <w:t xml:space="preserve">shape. This is not a preference; the data admits nothing else.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0" w:name="part-3.-processing-and-representation"/>
    <w:p>
      <w:pPr>
        <w:pStyle w:val="Heading1"/>
      </w:pPr>
      <w:r>
        <w:t xml:space="preserve">Part 3. Processing and representation</w:t>
      </w:r>
    </w:p>
    <w:bookmarkStart w:id="25" w:name="X66a7ae8ad62e74ecce5e44638c853396bb6d4ad"/>
    <w:p>
      <w:pPr>
        <w:pStyle w:val="Heading2"/>
      </w:pPr>
      <w:r>
        <w:t xml:space="preserve">3.1 Desalting and neutralisation before featurisation —</w:t>
      </w:r>
      <w:r>
        <w:t xml:space="preserve"> </w:t>
      </w:r>
      <w:r>
        <w:rPr>
          <w:b/>
          <w:bCs/>
        </w:rPr>
        <w:t xml:space="preserve">[CONVENTION]</w:t>
      </w:r>
    </w:p>
    <w:p>
      <w:pPr>
        <w:pStyle w:val="FirstParagraph"/>
      </w:pPr>
      <w:r>
        <w:t xml:space="preserve">Only the largest fragment is kept and charges are neutralised, so a hydrochloride salt and its free</w:t>
      </w:r>
      <w:r>
        <w:t xml:space="preserve"> </w:t>
      </w:r>
      <w:r>
        <w:t xml:space="preserve">base give the same vector. They are the same molecule for the purposes of a binding prediction and</w:t>
      </w:r>
      <w:r>
        <w:t xml:space="preserve"> </w:t>
      </w:r>
      <w:r>
        <w:t xml:space="preserve">the deposited form is an artefact of how the compound was crystallised.</w:t>
      </w:r>
    </w:p>
    <w:bookmarkEnd w:id="25"/>
    <w:bookmarkStart w:id="26" w:name="Xe2437267289cfd9c9948b28ae5269dd237d3f2c"/>
    <w:p>
      <w:pPr>
        <w:pStyle w:val="Heading2"/>
      </w:pPr>
      <w:r>
        <w:t xml:space="preserve">3.2 ECFP-4 folded to 1,024 bits —</w:t>
      </w:r>
      <w:r>
        <w:t xml:space="preserve"> </w:t>
      </w:r>
      <w:r>
        <w:rPr>
          <w:b/>
          <w:bCs/>
        </w:rPr>
        <w:t xml:space="preserve">[CONVENTION]</w:t>
      </w:r>
      <w:r>
        <w:t xml:space="preserve">, and untested here</w:t>
      </w:r>
    </w:p>
    <w:p>
      <w:pPr>
        <w:pStyle w:val="FirstParagraph"/>
      </w:pPr>
      <w:r>
        <w:t xml:space="preserve">Circular fingerprints of diameter 4 are the default substructure representation for ligand-based</w:t>
      </w:r>
      <w:r>
        <w:t xml:space="preserve"> </w:t>
      </w:r>
      <w:r>
        <w:t xml:space="preserve">activity prediction, and 1,024 or 2,048 bits are the usual folding widths.</w:t>
      </w:r>
    </w:p>
    <w:p>
      <w:pPr>
        <w:pStyle w:val="BodyText"/>
      </w:pPr>
      <w:r>
        <w:rPr>
          <w:i/>
          <w:iCs/>
        </w:rPr>
        <w:t xml:space="preserve">What was not done.</w:t>
      </w:r>
      <w:r>
        <w:t xml:space="preserve"> </w:t>
      </w:r>
      <w:r>
        <w:rPr>
          <w:b/>
          <w:bCs/>
        </w:rPr>
        <w:t xml:space="preserve">No sweep over radius or bit width was run.</w:t>
      </w:r>
      <w:r>
        <w:t xml:space="preserve"> </w:t>
      </w:r>
      <w:r>
        <w:t xml:space="preserve">A 2,048-bit vector would halve</w:t>
      </w:r>
      <w:r>
        <w:t xml:space="preserve"> </w:t>
      </w:r>
      <w:r>
        <w:t xml:space="preserve">the collision rate and cost nothing but memory. The applicability-domain measure does use 2,048 bits,</w:t>
      </w:r>
      <w:r>
        <w:t xml:space="preserve"> </w:t>
      </w:r>
      <w:r>
        <w:t xml:space="preserve">so the project already holds both, and the fact that the model uses the narrower one is a choice</w:t>
      </w:r>
      <w:r>
        <w:t xml:space="preserve"> </w:t>
      </w:r>
      <w:r>
        <w:t xml:space="preserve">inherited rather than justified by measurement.</w:t>
      </w:r>
    </w:p>
    <w:bookmarkEnd w:id="26"/>
    <w:bookmarkStart w:id="27" w:name="X2f1454cab8392146f843f75c4b40a6066622a56"/>
    <w:p>
      <w:pPr>
        <w:pStyle w:val="Heading2"/>
      </w:pPr>
      <w:r>
        <w:t xml:space="preserve">3.3 The twelve descriptors —</w:t>
      </w:r>
      <w:r>
        <w:t xml:space="preserve"> </w:t>
      </w:r>
      <w:r>
        <w:rPr>
          <w:b/>
          <w:bCs/>
        </w:rPr>
        <w:t xml:space="preserve">[MEASURED]</w:t>
      </w:r>
      <w:r>
        <w:t xml:space="preserve">, and the result is deflationary</w:t>
      </w:r>
    </w:p>
    <w:p>
      <w:pPr>
        <w:pStyle w:val="FirstParagraph"/>
      </w:pPr>
      <w:r>
        <w:t xml:space="preserve">A block ablation over 13 endpoints compared fingerprint alone, descriptors alone, and both together: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2262"/>
        <w:gridCol w:w="1697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Comparison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</w:t>
            </w:r>
          </w:p>
        </w:tc>
        <w:tc>
          <w:tcPr/>
          <w:p>
            <w:pPr>
              <w:pStyle w:val="Compact"/>
            </w:pPr>
            <w:r>
              <w:t xml:space="preserve">Range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Wins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 − fingerprint only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+0.0014</w:t>
            </w:r>
          </w:p>
        </w:tc>
        <w:tc>
          <w:tcPr/>
          <w:p>
            <w:pPr>
              <w:pStyle w:val="Compact"/>
            </w:pPr>
            <w:r>
              <w:t xml:space="preserve">−0.0104 to +0.0149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 of 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 − descriptors only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+0.1049</w:t>
            </w:r>
          </w:p>
        </w:tc>
        <w:tc>
          <w:tcPr/>
          <w:p>
            <w:pPr>
              <w:pStyle w:val="Compact"/>
            </w:pPr>
            <w:r>
              <w:t xml:space="preserve">+0.0088 to +0.2401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 of 13</w:t>
            </w:r>
          </w:p>
        </w:tc>
      </w:tr>
    </w:tbl>
    <w:p>
      <w:pPr>
        <w:pStyle w:val="BodyText"/>
      </w:pPr>
      <w:r>
        <w:t xml:space="preserve">Read it plainly.</w:t>
      </w:r>
      <w:r>
        <w:t xml:space="preserve"> </w:t>
      </w:r>
      <w:r>
        <w:rPr>
          <w:b/>
          <w:bCs/>
        </w:rPr>
        <w:t xml:space="preserve">The fingerprint carries essentially all of the signal, and the twelve descriptors</w:t>
      </w:r>
      <w:r>
        <w:rPr>
          <w:b/>
          <w:bCs/>
        </w:rPr>
        <w:t xml:space="preserve"> </w:t>
      </w:r>
      <w:r>
        <w:rPr>
          <w:b/>
          <w:bCs/>
        </w:rPr>
        <w:t xml:space="preserve">add about 0.001.</w:t>
      </w:r>
      <w:r>
        <w:t xml:space="preserve"> </w:t>
      </w:r>
      <w:r>
        <w:t xml:space="preserve">They are retained because they cost nothing, because they make the vector</w:t>
      </w:r>
      <w:r>
        <w:t xml:space="preserve"> </w:t>
      </w:r>
      <w:r>
        <w:t xml:space="preserve">interpretable in a way folded bits are not, and because the exposure layer needs them anyway. They</w:t>
      </w:r>
      <w:r>
        <w:t xml:space="preserve"> </w:t>
      </w:r>
      <w:r>
        <w:t xml:space="preserve">are not retained because they were shown to help, and the manuscript should not imply otherwise.</w:t>
      </w:r>
    </w:p>
    <w:p>
      <w:pPr>
        <w:pStyle w:val="BodyText"/>
      </w:pPr>
      <w:r>
        <w:t xml:space="preserve">The converse comparison is the one that justifies the fingerprint: descriptors alone lose a tenth of</w:t>
      </w:r>
      <w:r>
        <w:t xml:space="preserve"> </w:t>
      </w:r>
      <w:r>
        <w:t xml:space="preserve">an AUROC on average and up to 0.24 on the antioxidant endpoint.</w:t>
      </w:r>
    </w:p>
    <w:bookmarkEnd w:id="27"/>
    <w:bookmarkStart w:id="28" w:name="Xd656e627ac6c1defb69f82700f375182b111feb"/>
    <w:p>
      <w:pPr>
        <w:pStyle w:val="Heading2"/>
      </w:pPr>
      <w:r>
        <w:t xml:space="preserve">3.4 Deduplication on the feature vector, not the identifier —</w:t>
      </w:r>
      <w:r>
        <w:t xml:space="preserve"> </w:t>
      </w:r>
      <w:r>
        <w:rPr>
          <w:b/>
          <w:bCs/>
        </w:rPr>
        <w:t xml:space="preserve">[FORCED]</w:t>
      </w:r>
    </w:p>
    <w:p>
      <w:pPr>
        <w:pStyle w:val="FirstParagraph"/>
      </w:pPr>
      <w:r>
        <w:t xml:space="preserve">The featuriser is stereo-blind, so stereoisomers, salts and protonation variants give byte-identical</w:t>
      </w:r>
      <w:r>
        <w:t xml:space="preserve"> </w:t>
      </w:r>
      <w:r>
        <w:t xml:space="preserve">vectors. Neither the SMILES string nor the InChIKey collapses them, and both are unique for every BBB</w:t>
      </w:r>
      <w:r>
        <w:t xml:space="preserve"> </w:t>
      </w:r>
      <w:r>
        <w:t xml:space="preserve">row. Deduplicating on an identifier would therefore leave copies of one compound on both sides of a</w:t>
      </w:r>
      <w:r>
        <w:t xml:space="preserve"> </w:t>
      </w:r>
      <w:r>
        <w:t xml:space="preserve">fold, and the model would be scored on rows it had memorised. There is no choice here: the level at</w:t>
      </w:r>
      <w:r>
        <w:t xml:space="preserve"> </w:t>
      </w:r>
      <w:r>
        <w:t xml:space="preserve">which rows are indistinguishable is the vector, so that is the level at which they must be collapsed.</w:t>
      </w:r>
    </w:p>
    <w:bookmarkEnd w:id="28"/>
    <w:bookmarkStart w:id="29" w:name="X826ecbd6a25e2b6ca875c2b47171144a3aa8a00"/>
    <w:p>
      <w:pPr>
        <w:pStyle w:val="Heading2"/>
      </w:pPr>
      <w:r>
        <w:t xml:space="preserve">3.5 Label conflicts dropped rather than resolved —</w:t>
      </w:r>
      <w:r>
        <w:t xml:space="preserve"> </w:t>
      </w:r>
      <w:r>
        <w:rPr>
          <w:b/>
          <w:bCs/>
        </w:rPr>
        <w:t xml:space="preserve">[DECLARED]</w:t>
      </w:r>
    </w:p>
    <w:p>
      <w:pPr>
        <w:pStyle w:val="FirstParagraph"/>
      </w:pPr>
      <w:r>
        <w:t xml:space="preserve">When a duplicate group disagrees on the label, the whole group is discarded rather than majority-voted</w:t>
      </w:r>
      <w:r>
        <w:t xml:space="preserve"> </w:t>
      </w:r>
      <w:r>
        <w:t xml:space="preserve">or averaged. The same input carrying both labels cannot be learned from, and picking one is an</w:t>
      </w:r>
      <w:r>
        <w:t xml:space="preserve"> </w:t>
      </w:r>
      <w:r>
        <w:t xml:space="preserve">arbitrary decision dressed as data. Regression takes the group median, which is defensible because a</w:t>
      </w:r>
      <w:r>
        <w:t xml:space="preserve"> </w:t>
      </w:r>
      <w:r>
        <w:t xml:space="preserve">potency is a quantity and a median of a quantity is meaningful, where a median of a contradiction is</w:t>
      </w:r>
      <w:r>
        <w:t xml:space="preserve"> </w:t>
      </w:r>
      <w:r>
        <w:t xml:space="preserve">not.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6" w:name="part-4.-data-separation"/>
    <w:p>
      <w:pPr>
        <w:pStyle w:val="Heading1"/>
      </w:pPr>
      <w:r>
        <w:t xml:space="preserve">Part 4. Data separation</w:t>
      </w:r>
    </w:p>
    <w:bookmarkStart w:id="31" w:name="Xb5aba357e52111f1eea04cfe22244738f912752"/>
    <w:p>
      <w:pPr>
        <w:pStyle w:val="Heading2"/>
      </w:pPr>
      <w:r>
        <w:t xml:space="preserve">4.1 Scaffold-grouped cross-validation as the primary estimate —</w:t>
      </w:r>
      <w:r>
        <w:t xml:space="preserve"> </w:t>
      </w:r>
      <w:r>
        <w:rPr>
          <w:b/>
          <w:bCs/>
        </w:rPr>
        <w:t xml:space="preserve">[MEASURED]</w:t>
      </w:r>
    </w:p>
    <w:p>
      <w:pPr>
        <w:pStyle w:val="FirstParagraph"/>
      </w:pPr>
      <w:r>
        <w:t xml:space="preserve">Random 10-fold gives a mean AUROC of</w:t>
      </w:r>
      <w:r>
        <w:t xml:space="preserve"> </w:t>
      </w:r>
      <w:r>
        <w:rPr>
          <w:b/>
          <w:bCs/>
        </w:rPr>
        <w:t xml:space="preserve">0.9575</w:t>
      </w:r>
      <w:r>
        <w:t xml:space="preserve"> </w:t>
      </w:r>
      <w:r>
        <w:t xml:space="preserve">across the eight core classifiers; scaffold-grouped</w:t>
      </w:r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0.9252</w:t>
      </w:r>
      <w:r>
        <w:t xml:space="preserve">. The gap of about 0.032 is the analogue leakage a random split permits.</w:t>
      </w:r>
    </w:p>
    <w:p>
      <w:pPr>
        <w:pStyle w:val="BodyText"/>
      </w:pPr>
      <w:r>
        <w:rPr>
          <w:i/>
          <w:iCs/>
        </w:rPr>
        <w:t xml:space="preserve">Why the harder number is the headline.</w:t>
      </w:r>
      <w:r>
        <w:t xml:space="preserve"> </w:t>
      </w:r>
      <w:r>
        <w:t xml:space="preserve">The published medicinal-chemistry record is series: a paper</w:t>
      </w:r>
      <w:r>
        <w:t xml:space="preserve"> </w:t>
      </w:r>
      <w:r>
        <w:t xml:space="preserve">reports twenty analogues of one scaffold. A random split therefore places close analogues of nearly</w:t>
      </w:r>
      <w:r>
        <w:t xml:space="preserve"> </w:t>
      </w:r>
      <w:r>
        <w:t xml:space="preserve">every test compound in the training set, and answers a question no user ever asks. A user’s compound</w:t>
      </w:r>
      <w:r>
        <w:t xml:space="preserve"> </w:t>
      </w:r>
      <w:r>
        <w:t xml:space="preserve">is novel by construction, which is what a scaffold split simulates.</w:t>
      </w:r>
    </w:p>
    <w:bookmarkEnd w:id="31"/>
    <w:bookmarkStart w:id="32" w:name="ten-folds-measured"/>
    <w:p>
      <w:pPr>
        <w:pStyle w:val="Heading2"/>
      </w:pPr>
      <w:r>
        <w:t xml:space="preserve">4.2 Ten folds —</w:t>
      </w:r>
      <w:r>
        <w:t xml:space="preserve"> </w:t>
      </w:r>
      <w:r>
        <w:rPr>
          <w:b/>
          <w:bCs/>
        </w:rPr>
        <w:t xml:space="preserve">[MEASURED]</w:t>
      </w:r>
    </w:p>
    <w:p>
      <w:pPr>
        <w:pStyle w:val="FirstParagraph"/>
      </w:pPr>
      <w:r>
        <w:t xml:space="preserve">The fold count was compared and it barely matters: mean classification AUROC 0.912 at scaffold-5</w:t>
      </w:r>
      <w:r>
        <w:t xml:space="preserve"> </w:t>
      </w:r>
      <w:r>
        <w:t xml:space="preserve">against 0.958 at random-5 and 0.964 at random-10.</w:t>
      </w:r>
      <w:r>
        <w:t xml:space="preserve"> </w:t>
      </w:r>
      <w:r>
        <w:rPr>
          <w:b/>
          <w:bCs/>
        </w:rPr>
        <w:t xml:space="preserve">The split type changes the result by about 0.05;</w:t>
      </w:r>
      <w:r>
        <w:rPr>
          <w:b/>
          <w:bCs/>
        </w:rPr>
        <w:t xml:space="preserve"> </w:t>
      </w:r>
      <w:r>
        <w:rPr>
          <w:b/>
          <w:bCs/>
        </w:rPr>
        <w:t xml:space="preserve">the fold count changes it by about 0.006.</w:t>
      </w:r>
      <w:r>
        <w:t xml:space="preserve"> </w:t>
      </w:r>
      <w:r>
        <w:t xml:space="preserve">That comparison is the justification for spending the</w:t>
      </w:r>
      <w:r>
        <w:t xml:space="preserve"> </w:t>
      </w:r>
      <w:r>
        <w:t xml:space="preserve">argument on the split and not on the fold count.</w:t>
      </w:r>
    </w:p>
    <w:bookmarkEnd w:id="32"/>
    <w:bookmarkStart w:id="33" w:name="X42762bcb767f37183f094120bf2fa44795e9444"/>
    <w:p>
      <w:pPr>
        <w:pStyle w:val="Heading2"/>
      </w:pPr>
      <w:r>
        <w:t xml:space="preserve">4.3 Three disjoint background pools, assigned by hash —</w:t>
      </w:r>
      <w:r>
        <w:t xml:space="preserve"> </w:t>
      </w:r>
      <w:r>
        <w:rPr>
          <w:b/>
          <w:bCs/>
        </w:rPr>
        <w:t xml:space="preserve">[FORCED]</w:t>
      </w:r>
      <w:r>
        <w:t xml:space="preserve"> </w:t>
      </w:r>
      <w:r>
        <w:t xml:space="preserve">in principle,</w:t>
      </w:r>
      <w:r>
        <w:t xml:space="preserve"> </w:t>
      </w:r>
      <w:r>
        <w:rPr>
          <w:b/>
          <w:bCs/>
        </w:rPr>
        <w:t xml:space="preserve">[DECLARED]</w:t>
      </w:r>
      <w:r>
        <w:t xml:space="preserve"> </w:t>
      </w:r>
      <w:r>
        <w:t xml:space="preserve">in proportion</w:t>
      </w:r>
    </w:p>
    <w:p>
      <w:pPr>
        <w:pStyle w:val="FirstParagraph"/>
      </w:pPr>
      <w:r>
        <w:t xml:space="preserve">The pipeline asks the background library for three things: decoys to train against, a sample to set</w:t>
      </w:r>
      <w:r>
        <w:t xml:space="preserve"> </w:t>
      </w:r>
      <w:r>
        <w:t xml:space="preserve">each threshold as a quantile, and a sample to measure the false-positive rate at that threshold.</w:t>
      </w:r>
    </w:p>
    <w:p>
      <w:pPr>
        <w:pStyle w:val="BodyText"/>
      </w:pPr>
      <w:r>
        <w:rPr>
          <w:i/>
          <w:iCs/>
        </w:rPr>
        <w:t xml:space="preserve">Why they must be disjoint.</w:t>
      </w:r>
      <w:r>
        <w:t xml:space="preserve"> </w:t>
      </w:r>
      <w:r>
        <w:t xml:space="preserve">If the threshold is the 95th percentile of a sample, the false-positive</w:t>
      </w:r>
      <w:r>
        <w:t xml:space="preserve"> </w:t>
      </w:r>
      <w:r>
        <w:t xml:space="preserve">rate on that same sample is 5 per cent whatever the model does. It is the quantile restated, not a</w:t>
      </w:r>
      <w:r>
        <w:t xml:space="preserve"> </w:t>
      </w:r>
      <w:r>
        <w:t xml:space="preserve">measurement. Drawing decoys from either of the others is worse: the model was trained to score those</w:t>
      </w:r>
      <w:r>
        <w:t xml:space="preserve"> </w:t>
      </w:r>
      <w:r>
        <w:t xml:space="preserve">compounds near zero and is then congratulated for it. This part is forced by logic.</w:t>
      </w:r>
    </w:p>
    <w:p>
      <w:pPr>
        <w:pStyle w:val="BodyText"/>
      </w:pPr>
      <w:r>
        <w:rPr>
          <w:i/>
          <w:iCs/>
        </w:rPr>
        <w:t xml:space="preserve">Why a hash and not a shuffle.</w:t>
      </w:r>
      <w:r>
        <w:t xml:space="preserve"> </w:t>
      </w:r>
      <w:r>
        <w:rPr>
          <w:rStyle w:val="VerbatimChar"/>
        </w:rPr>
        <w:t xml:space="preserve">blake2b(salt + canonical SMILES) mod 100</w:t>
      </w:r>
      <w:r>
        <w:t xml:space="preserve"> </w:t>
      </w:r>
      <w:r>
        <w:t xml:space="preserve">gives two properties a</w:t>
      </w:r>
      <w:r>
        <w:t xml:space="preserve"> </w:t>
      </w:r>
      <w:r>
        <w:t xml:space="preserve">shuffle does not: the assignment does not depend on the order the library happens to be in, and</w:t>
      </w:r>
      <w:r>
        <w:t xml:space="preserve"> </w:t>
      </w:r>
      <w:r>
        <w:t xml:space="preserve">adding compounds later leaves every existing assignment untouched, so a threshold set today stays</w:t>
      </w:r>
      <w:r>
        <w:t xml:space="preserve"> </w:t>
      </w:r>
      <w:r>
        <w:t xml:space="preserve">comparable with a rate measured next year.</w:t>
      </w:r>
    </w:p>
    <w:p>
      <w:pPr>
        <w:pStyle w:val="BodyText"/>
      </w:pPr>
      <w:r>
        <w:rPr>
          <w:i/>
          <w:iCs/>
        </w:rPr>
        <w:t xml:space="preserve">The 60/20/20 split itself is declared</w:t>
      </w:r>
      <w:r>
        <w:t xml:space="preserve">, not derived. Decoys need the most because they run at three</w:t>
      </w:r>
      <w:r>
        <w:t xml:space="preserve"> </w:t>
      </w:r>
      <w:r>
        <w:t xml:space="preserve">per active; the other two need only enough for a stable quantile and a stable rate.</w:t>
      </w:r>
    </w:p>
    <w:bookmarkEnd w:id="33"/>
    <w:bookmarkStart w:id="34" w:name="the-binder-panels-own-hold-outs-declared"/>
    <w:p>
      <w:pPr>
        <w:pStyle w:val="Heading2"/>
      </w:pPr>
      <w:r>
        <w:t xml:space="preserve">4.4 The binder panel’s own hold-outs —</w:t>
      </w:r>
      <w:r>
        <w:t xml:space="preserve"> </w:t>
      </w:r>
      <w:r>
        <w:rPr>
          <w:b/>
          <w:bCs/>
        </w:rPr>
        <w:t xml:space="preserve">[DECLARED]</w:t>
      </w:r>
    </w:p>
    <w:p>
      <w:pPr>
        <w:pStyle w:val="FirstParagraph"/>
      </w:pPr>
      <w:r>
        <w:t xml:space="preserve">A fifth of active scaffold groups is withheld from training so sensitivity is measured on</w:t>
      </w:r>
      <w:r>
        <w:t xml:space="preserve"> </w:t>
      </w:r>
      <w:r>
        <w:t xml:space="preserve">structurally distinct compounds, and measured inactives are split in half, one half training as hard</w:t>
      </w:r>
      <w:r>
        <w:t xml:space="preserve"> </w:t>
      </w:r>
      <w:r>
        <w:t xml:space="preserve">negatives and the other setting the threshold. Both halves are written to</w:t>
      </w:r>
      <w:r>
        <w:t xml:space="preserve"> </w:t>
      </w:r>
      <w:r>
        <w:rPr>
          <w:rStyle w:val="VerbatimChar"/>
        </w:rPr>
        <w:t xml:space="preserve">models_rf/holdout/&lt;T&gt;_binder_holdout.json</w:t>
      </w:r>
      <w:r>
        <w:t xml:space="preserve"> </w:t>
      </w:r>
      <w:r>
        <w:rPr>
          <w:b/>
          <w:bCs/>
        </w:rPr>
        <w:t xml:space="preserve">so a later step cannot reach past the hold-out by</w:t>
      </w:r>
      <w:r>
        <w:rPr>
          <w:b/>
          <w:bCs/>
        </w:rPr>
        <w:t xml:space="preserve"> </w:t>
      </w:r>
      <w:r>
        <w:rPr>
          <w:b/>
          <w:bCs/>
        </w:rPr>
        <w:t xml:space="preserve">re-reading the endpoint table</w:t>
      </w:r>
      <w:r>
        <w:t xml:space="preserve">.</w:t>
      </w:r>
    </w:p>
    <w:p>
      <w:pPr>
        <w:pStyle w:val="BodyText"/>
      </w:pPr>
      <w:r>
        <w:t xml:space="preserve">That last clause is not hypothetical. It is the defect Chapter 5 documents: a downstream script did</w:t>
      </w:r>
      <w:r>
        <w:t xml:space="preserve"> </w:t>
      </w:r>
      <w:r>
        <w:t xml:space="preserve">re-read the whole table and set the threshold on 40 of 49 deployed endpoints from data the model had</w:t>
      </w:r>
      <w:r>
        <w:t xml:space="preserve"> </w:t>
      </w:r>
      <w:r>
        <w:t xml:space="preserve">seen. The file-based hold-out exists because the convention alone failed.</w:t>
      </w:r>
    </w:p>
    <w:bookmarkEnd w:id="34"/>
    <w:bookmarkStart w:id="35" w:name="X76a425832c32136a42a7591c8eb253444e9e126"/>
    <w:p>
      <w:pPr>
        <w:pStyle w:val="Heading2"/>
      </w:pPr>
      <w:r>
        <w:t xml:space="preserve">4.5 The temporal split —</w:t>
      </w:r>
      <w:r>
        <w:t xml:space="preserve"> </w:t>
      </w:r>
      <w:r>
        <w:rPr>
          <w:b/>
          <w:bCs/>
        </w:rPr>
        <w:t xml:space="preserve">[MEASURED]</w:t>
      </w:r>
      <w:r>
        <w:t xml:space="preserve">, and it needed a control</w:t>
      </w:r>
    </w:p>
    <w:p>
      <w:pPr>
        <w:pStyle w:val="FirstParagraph"/>
      </w:pPr>
      <w:r>
        <w:t xml:space="preserve">Models were refitted before a date cutoff and scored on compounds measured afterwards.</w:t>
      </w:r>
      <w: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size-matched random control is the part that makes this an experiment rather than an anecdote</w:t>
      </w:r>
      <w:r>
        <w:t xml:space="preserve">: a</w:t>
      </w:r>
      <w:r>
        <w:t xml:space="preserve"> </w:t>
      </w:r>
      <w:r>
        <w:t xml:space="preserve">time split trains on less data as well as none of the future, so without a control at the same</w:t>
      </w:r>
      <w:r>
        <w:t xml:space="preserve"> </w:t>
      </w:r>
      <w:r>
        <w:t xml:space="preserve">training-set size a drop cannot be attributed to either cause.</w:t>
      </w:r>
    </w:p>
    <w:p>
      <w:pPr>
        <w:pStyle w:val="BodyText"/>
      </w:pPr>
      <w:r>
        <w:t xml:space="preserve">The control earned its place. In aggregate the time split looks like decay, sensitivity 0.4886</w:t>
      </w:r>
      <w:r>
        <w:t xml:space="preserve"> </w:t>
      </w:r>
      <w:r>
        <w:t xml:space="preserve">against 0.8715. Read band by band it is mostly composition:</w:t>
      </w:r>
      <w:r>
        <w:t xml:space="preserve"> </w:t>
      </w:r>
      <w:r>
        <w:rPr>
          <w:b/>
          <w:bCs/>
        </w:rPr>
        <w:t xml:space="preserve">83.3 per cent of the random split’s</w:t>
      </w:r>
      <w:r>
        <w:rPr>
          <w:b/>
          <w:bCs/>
        </w:rPr>
        <w:t xml:space="preserve"> </w:t>
      </w:r>
      <w:r>
        <w:rPr>
          <w:b/>
          <w:bCs/>
        </w:rPr>
        <w:t xml:space="preserve">test compounds are close analogues of its own training set against 16.3 per cent for the time split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2" w:name="part-5.-training"/>
    <w:p>
      <w:pPr>
        <w:pStyle w:val="Heading1"/>
      </w:pPr>
      <w:r>
        <w:t xml:space="preserve">Part 5. Training</w:t>
      </w:r>
    </w:p>
    <w:bookmarkStart w:id="37" w:name="X5640dda612b7cfc255d7f8e40a29a7fcba85f4e"/>
    <w:p>
      <w:pPr>
        <w:pStyle w:val="Heading2"/>
      </w:pPr>
      <w:r>
        <w:t xml:space="preserve">5.1 A random forest as the primary estimator —</w:t>
      </w:r>
      <w:r>
        <w:t xml:space="preserve"> </w:t>
      </w:r>
      <w:r>
        <w:rPr>
          <w:b/>
          <w:bCs/>
        </w:rPr>
        <w:t xml:space="preserve">[MEASURED]</w:t>
      </w:r>
      <w:r>
        <w:t xml:space="preserve">, and the result is honest rather than flattering</w:t>
      </w:r>
    </w:p>
    <w:p>
      <w:pPr>
        <w:pStyle w:val="FirstParagraph"/>
      </w:pPr>
      <w:r>
        <w:t xml:space="preserve">Five families were compared on the same features and the same folds: random forest, XGBoost,</w:t>
      </w:r>
      <w:r>
        <w:t xml:space="preserve"> </w:t>
      </w:r>
      <w:r>
        <w:t xml:space="preserve">histogram gradient boosting, L2-regularised logistic regression, and a five-nearest-neighbour</w:t>
      </w:r>
      <w:r>
        <w:t xml:space="preserve"> </w:t>
      </w:r>
      <w:r>
        <w:t xml:space="preserve">Tanimoto read-across.</w:t>
      </w:r>
    </w:p>
    <w:p>
      <w:pPr>
        <w:pStyle w:val="BodyText"/>
      </w:pPr>
      <w:r>
        <w:rPr>
          <w:i/>
          <w:iCs/>
        </w:rPr>
        <w:t xml:space="preserve">Against the baselines the forest is decisively better.</w:t>
      </w:r>
      <w:r>
        <w:t xml:space="preserve"> </w:t>
      </w:r>
      <w:r>
        <w:t xml:space="preserve">Over the 8 classification endpoints under</w:t>
      </w:r>
      <w:r>
        <w:t xml:space="preserve"> </w:t>
      </w:r>
      <w:r>
        <w:t xml:space="preserve">scaffold split it beats the read-across on 8 of 8, median +0.0381, p = 0.00781, and logistic</w:t>
      </w:r>
      <w:r>
        <w:t xml:space="preserve"> </w:t>
      </w:r>
      <w:r>
        <w:t xml:space="preserve">regression on 8 of 8, median +0.0818.</w:t>
      </w:r>
    </w:p>
    <w:p>
      <w:pPr>
        <w:pStyle w:val="BodyText"/>
      </w:pPr>
      <w:r>
        <w:rPr>
          <w:i/>
          <w:iCs/>
        </w:rPr>
        <w:t xml:space="preserve">Against the other ensembles it is not distinguishable.</w:t>
      </w:r>
      <w:r>
        <w:t xml:space="preserve"> </w:t>
      </w:r>
      <w:r>
        <w:t xml:space="preserve">Over all 13 endpoints it beats histogram</w:t>
      </w:r>
      <w:r>
        <w:t xml:space="preserve"> </w:t>
      </w:r>
      <w:r>
        <w:t xml:space="preserve">gradient boosting on 8, median +0.0031,</w:t>
      </w:r>
      <w:r>
        <w:t xml:space="preserve"> </w:t>
      </w:r>
      <w:r>
        <w:rPr>
          <w:b/>
          <w:bCs/>
        </w:rPr>
        <w:t xml:space="preserve">p = 0.89258</w:t>
      </w:r>
      <w:r>
        <w:t xml:space="preserve">, and XGBoost on 8, median +0.0033,</w:t>
      </w:r>
      <w:r>
        <w:t xml:space="preserve"> </w:t>
      </w:r>
      <w:r>
        <w:rPr>
          <w:b/>
          <w:bCs/>
        </w:rPr>
        <w:t xml:space="preserve">p = 0.73535</w:t>
      </w:r>
      <w:r>
        <w:t xml:space="preserve">. On the five regression endpoints it loses to XGBoost on 5 of 5.</w:t>
      </w:r>
    </w:p>
    <w:p>
      <w:pPr>
        <w:pStyle w:val="BodyText"/>
      </w:pPr>
      <w:r>
        <w:rPr>
          <w:i/>
          <w:iCs/>
        </w:rPr>
        <w:t xml:space="preserve">So why the forest.</w:t>
      </w:r>
      <w:r>
        <w:t xml:space="preserve"> </w:t>
      </w:r>
      <w:r>
        <w:t xml:space="preserve">Not accuracy. It is kept for its calibration behaviour, its out-of-bag</w:t>
      </w:r>
      <w:r>
        <w:t xml:space="preserve"> </w:t>
      </w:r>
      <w:r>
        <w:t xml:space="preserve">structure, and because an untuned forest is a more honest default than a tuned booster.</w:t>
      </w:r>
      <w:r>
        <w:t xml:space="preserve"> </w:t>
      </w:r>
      <w:r>
        <w:rPr>
          <w:b/>
          <w:bCs/>
        </w:rPr>
        <w:t xml:space="preserve">A candidate</w:t>
      </w:r>
      <w:r>
        <w:rPr>
          <w:b/>
          <w:bCs/>
        </w:rPr>
        <w:t xml:space="preserve"> </w:t>
      </w:r>
      <w:r>
        <w:rPr>
          <w:b/>
          <w:bCs/>
        </w:rPr>
        <w:t xml:space="preserve">should say this rather than claim the forest won.</w:t>
      </w:r>
    </w:p>
    <w:bookmarkEnd w:id="37"/>
    <w:bookmarkStart w:id="38" w:name="X346f6dfba2805e703b5d0884e6bb39557264802"/>
    <w:p>
      <w:pPr>
        <w:pStyle w:val="Heading2"/>
      </w:pPr>
      <w:r>
        <w:t xml:space="preserve">5.2 Hyper-parameters —</w:t>
      </w:r>
      <w:r>
        <w:t xml:space="preserve"> </w:t>
      </w:r>
      <w:r>
        <w:rPr>
          <w:b/>
          <w:bCs/>
        </w:rPr>
        <w:t xml:space="preserve">[DECLARED]</w:t>
      </w:r>
      <w:r>
        <w:t xml:space="preserve">, every one of them</w:t>
      </w:r>
    </w:p>
    <w:p>
      <w:pPr>
        <w:pStyle w:val="FirstParagraph"/>
      </w:pPr>
      <w:r>
        <w:rPr>
          <w:rStyle w:val="VerbatimChar"/>
        </w:rPr>
        <w:t xml:space="preserve">n_estimators=300, min_samples_leaf=2</w:t>
      </w:r>
      <w:r>
        <w:t xml:space="preserve"> </w:t>
      </w:r>
      <w:r>
        <w:t xml:space="preserve">(4 on the binder panel),</w:t>
      </w:r>
      <w:r>
        <w:t xml:space="preserve"> </w:t>
      </w:r>
      <w:r>
        <w:rPr>
          <w:rStyle w:val="VerbatimChar"/>
        </w:rPr>
        <w:t xml:space="preserve">class_weight="balanced"</w:t>
      </w:r>
      <w:r>
        <w:t xml:space="preserve">,</w:t>
      </w:r>
      <w:r>
        <w:t xml:space="preserve"> </w:t>
      </w:r>
      <w:r>
        <w:rPr>
          <w:rStyle w:val="VerbatimChar"/>
        </w:rPr>
        <w:t xml:space="preserve">random_state=42</w:t>
      </w:r>
      <w:r>
        <w:t xml:space="preserve">. XGBoost at 400 estimators, depth 6, learning rate 0.05; histogram gradient boosting</w:t>
      </w:r>
      <w:r>
        <w:t xml:space="preserve"> </w:t>
      </w:r>
      <w:r>
        <w:t xml:space="preserve">at 400 iterations, learning rate 0.06.</w:t>
      </w:r>
    </w:p>
    <w:p>
      <w:pPr>
        <w:pStyle w:val="BodyText"/>
      </w:pPr>
      <w:r>
        <w:rPr>
          <w:b/>
          <w:bCs/>
        </w:rPr>
        <w:t xml:space="preserve">None of these was searched.</w:t>
      </w:r>
      <w:r>
        <w:t xml:space="preserve"> </w:t>
      </w:r>
      <w:r>
        <w:t xml:space="preserve">Section 9 argues why that is defensible and what it forfeits.</w:t>
      </w:r>
    </w:p>
    <w:p>
      <w:pPr>
        <w:pStyle w:val="BodyText"/>
      </w:pPr>
      <w:r>
        <w:t xml:space="preserve">The reasoning behind each is real even though it is not empirical here. 300 trees because the variance</w:t>
      </w:r>
      <w:r>
        <w:t xml:space="preserve"> </w:t>
      </w:r>
      <w:r>
        <w:t xml:space="preserve">term that shrinks with tree count is negligible well before 300, while the correlation term does not</w:t>
      </w:r>
      <w:r>
        <w:t xml:space="preserve"> </w:t>
      </w:r>
      <w:r>
        <w:t xml:space="preserve">shrink at all, so more trees buy nothing. Leaf size 4 rather than 2 on the binder panel because those</w:t>
      </w:r>
      <w:r>
        <w:t xml:space="preserve"> </w:t>
      </w:r>
      <w:r>
        <w:t xml:space="preserve">tables are smaller and noisier and a leaf holding one compound is memorisation. A fixed seed so a</w:t>
      </w:r>
      <w:r>
        <w:t xml:space="preserve"> </w:t>
      </w:r>
      <w:r>
        <w:t xml:space="preserve">rerun reproduces, which is what allowed a corrected artefact to be compared against its predecessor</w:t>
      </w:r>
      <w:r>
        <w:t xml:space="preserve"> </w:t>
      </w:r>
      <w:r>
        <w:t xml:space="preserve">and the difference attributed to the correction rather than to noise.</w:t>
      </w:r>
    </w:p>
    <w:bookmarkEnd w:id="38"/>
    <w:bookmarkStart w:id="39" w:name="Xfc643667a7a06e00fa30d88a572797b3fa889fa"/>
    <w:p>
      <w:pPr>
        <w:pStyle w:val="Heading2"/>
      </w:pPr>
      <w:r>
        <w:t xml:space="preserve">5.3 Balanced class weights —</w:t>
      </w:r>
      <w:r>
        <w:t xml:space="preserve"> </w:t>
      </w:r>
      <w:r>
        <w:rPr>
          <w:b/>
          <w:bCs/>
        </w:rPr>
        <w:t xml:space="preserve">[DECLARED]</w:t>
      </w:r>
      <w:r>
        <w:t xml:space="preserve">, and applied inconsistently</w:t>
      </w:r>
    </w:p>
    <w:p>
      <w:pPr>
        <w:pStyle w:val="FirstParagraph"/>
      </w:pPr>
      <w:r>
        <w:t xml:space="preserve">Several endpoints are heavily imbalanced and without reweighting a tree gains more impurity reduction</w:t>
      </w:r>
      <w:r>
        <w:t xml:space="preserve"> </w:t>
      </w:r>
      <w:r>
        <w:t xml:space="preserve">from the majority class.</w:t>
      </w:r>
    </w:p>
    <w:p>
      <w:pPr>
        <w:pStyle w:val="BodyText"/>
      </w:pPr>
      <w:r>
        <w:rPr>
          <w:b/>
          <w:bCs/>
        </w:rPr>
        <w:t xml:space="preserve">Concede the inconsistency before it is found.</w:t>
      </w:r>
      <w:r>
        <w:t xml:space="preserve"> </w:t>
      </w:r>
      <w:r>
        <w:t xml:space="preserve">In the family comparison, random forest and logistic</w:t>
      </w:r>
      <w:r>
        <w:t xml:space="preserve"> </w:t>
      </w:r>
      <w:r>
        <w:t xml:space="preserve">regression use</w:t>
      </w:r>
      <w:r>
        <w:t xml:space="preserve"> </w:t>
      </w:r>
      <w:r>
        <w:rPr>
          <w:rStyle w:val="VerbatimChar"/>
        </w:rPr>
        <w:t xml:space="preserve">class_weight="balanced"</w:t>
      </w:r>
      <w:r>
        <w:t xml:space="preserve">, XGBoost uses</w:t>
      </w:r>
      <w:r>
        <w:t xml:space="preserve"> </w:t>
      </w:r>
      <w:r>
        <w:rPr>
          <w:rStyle w:val="VerbatimChar"/>
        </w:rPr>
        <w:t xml:space="preserve">scale_pos_weight</w:t>
      </w:r>
      <w:r>
        <w:t xml:space="preserve">, and histogram gradient</w:t>
      </w:r>
      <w:r>
        <w:t xml:space="preserve"> </w:t>
      </w:r>
      <w:r>
        <w:t xml:space="preserve">boosting has neither and runs unweighted. Those are not equivalent, and the comparison is to that</w:t>
      </w:r>
      <w:r>
        <w:t xml:space="preserve"> </w:t>
      </w:r>
      <w:r>
        <w:t xml:space="preserve">extent not like-for-like.</w:t>
      </w:r>
    </w:p>
    <w:bookmarkEnd w:id="39"/>
    <w:bookmarkStart w:id="40" w:name="X081e67130cd075ec5205edef75d0376571f43ca"/>
    <w:p>
      <w:pPr>
        <w:pStyle w:val="Heading2"/>
      </w:pPr>
      <w:r>
        <w:t xml:space="preserve">5.4 Hybrid negatives: measured inactives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decoys —</w:t>
      </w:r>
      <w:r>
        <w:t xml:space="preserve"> </w:t>
      </w:r>
      <w:r>
        <w:rPr>
          <w:b/>
          <w:bCs/>
        </w:rPr>
        <w:t xml:space="preserve">[MEASURED]</w:t>
      </w:r>
    </w:p>
    <w:p>
      <w:pPr>
        <w:pStyle w:val="FirstParagraph"/>
      </w:pPr>
      <w:r>
        <w:rPr>
          <w:i/>
          <w:iCs/>
        </w:rPr>
        <w:t xml:space="preserve">The failure this fixes.</w:t>
      </w:r>
      <w:r>
        <w:t xml:space="preserve"> </w:t>
      </w:r>
      <w:r>
        <w:t xml:space="preserve">Decoy-only training saturates. For melatonin MT1 the measured inactives</w:t>
      </w:r>
      <w:r>
        <w:t xml:space="preserve"> </w:t>
      </w:r>
      <w:r>
        <w:t xml:space="preserve">scored a median binder probability of</w:t>
      </w:r>
      <w:r>
        <w:t xml:space="preserve"> </w:t>
      </w:r>
      <w:r>
        <w:rPr>
          <w:b/>
          <w:bCs/>
        </w:rPr>
        <w:t xml:space="preserve">0.972</w:t>
      </w:r>
      <w:r>
        <w:t xml:space="preserve"> </w:t>
      </w:r>
      <w:r>
        <w:t xml:space="preserve">against an active median of</w:t>
      </w:r>
      <w:r>
        <w:t xml:space="preserve"> </w:t>
      </w:r>
      <w:r>
        <w:rPr>
          <w:b/>
          <w:bCs/>
        </w:rPr>
        <w:t xml:space="preserve">0.997</w:t>
      </w:r>
      <w:r>
        <w:t xml:space="preserve">: the decision</w:t>
      </w:r>
      <w:r>
        <w:t xml:space="preserve"> </w:t>
      </w:r>
      <w:r>
        <w:t xml:space="preserve">boundary sat where tiny probability differences swing the result, and sensitivity at a controlled</w:t>
      </w:r>
      <w:r>
        <w:t xml:space="preserve"> </w:t>
      </w:r>
      <w:r>
        <w:t xml:space="preserve">false-positive rate collapsed to 0.52 at MT1 and 0.33 at KEAP1.</w:t>
      </w:r>
    </w:p>
    <w:p>
      <w:pPr>
        <w:pStyle w:val="BodyText"/>
      </w:pPr>
      <w:r>
        <w:t xml:space="preserve">The negatives were structurally dissimilar by construction, so the model never learned what a hard</w:t>
      </w:r>
      <w:r>
        <w:t xml:space="preserve"> </w:t>
      </w:r>
      <w:r>
        <w:t xml:space="preserve">negative looks like. The fix is to give it the ones it never saw: measured inactives split in half,</w:t>
      </w:r>
      <w:r>
        <w:t xml:space="preserve"> </w:t>
      </w:r>
      <w:r>
        <w:t xml:space="preserve">one half training alongside the decoys.</w:t>
      </w:r>
    </w:p>
    <w:p>
      <w:pPr>
        <w:pStyle w:val="BodyText"/>
      </w:pPr>
      <w:r>
        <w:t xml:space="preserve">This is section 1.7’s principle applied. Easy negatives inflate a metric and teach nothing; hard</w:t>
      </w:r>
      <w:r>
        <w:t xml:space="preserve"> </w:t>
      </w:r>
      <w:r>
        <w:t xml:space="preserve">negatives are what a decision boundary needs.</w:t>
      </w:r>
    </w:p>
    <w:bookmarkEnd w:id="40"/>
    <w:bookmarkStart w:id="41" w:name="Xfac756597d3aadc926f749811ef72bc7801ecfa"/>
    <w:p>
      <w:pPr>
        <w:pStyle w:val="Heading2"/>
      </w:pPr>
      <w:r>
        <w:t xml:space="preserve">5.5 Three decoys per active, at Tanimoto below 0.35 —</w:t>
      </w:r>
      <w:r>
        <w:t xml:space="preserve"> </w:t>
      </w:r>
      <w:r>
        <w:rPr>
          <w:b/>
          <w:bCs/>
        </w:rPr>
        <w:t xml:space="preserve">[CONVENTION]</w:t>
      </w:r>
    </w:p>
    <w:p>
      <w:pPr>
        <w:pStyle w:val="FirstParagraph"/>
      </w:pPr>
      <w:r>
        <w:t xml:space="preserve">Decoys are drawn only from the decoy pool, three per active, each with maximum Tanimoto below 0.35 to</w:t>
      </w:r>
      <w:r>
        <w:t xml:space="preserve"> </w:t>
      </w:r>
      <w:r>
        <w:t xml:space="preserve">every active, and the target’s own measured inactives are excluded from decoy eligibility so a</w:t>
      </w:r>
      <w:r>
        <w:t xml:space="preserve"> </w:t>
      </w:r>
      <w:r>
        <w:t xml:space="preserve">compound cannot be both a trained negative and an unseen one.</w:t>
      </w:r>
    </w:p>
    <w:p>
      <w:pPr>
        <w:pStyle w:val="BodyText"/>
      </w:pPr>
      <w:r>
        <w:rPr>
          <w:i/>
          <w:iCs/>
        </w:rPr>
        <w:t xml:space="preserve">The ratio and the ceiling are conventions and were not swept.</w:t>
      </w:r>
      <w:r>
        <w:t xml:space="preserve"> </w:t>
      </w:r>
      <w:r>
        <w:t xml:space="preserve">Both directions have a cost worth</w:t>
      </w:r>
      <w:r>
        <w:t xml:space="preserve"> </w:t>
      </w:r>
      <w:r>
        <w:t xml:space="preserve">stating: a lower ratio leaves the negative class thin, a higher one drives the base rate down and the</w:t>
      </w:r>
      <w:r>
        <w:t xml:space="preserve"> </w:t>
      </w:r>
      <w:r>
        <w:t xml:space="preserve">model toward always answering no; a higher similarity ceiling risks admitting genuine unmeasured</w:t>
      </w:r>
      <w:r>
        <w:t xml:space="preserve"> </w:t>
      </w:r>
      <w:r>
        <w:t xml:space="preserve">actives as decoys, a lower one makes the negatives too easy, which is exactly the failure of</w:t>
      </w:r>
      <w:r>
        <w:t xml:space="preserve"> </w:t>
      </w:r>
      <w:r>
        <w:t xml:space="preserve">section 1.7.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5" w:name="part-6.-calibration"/>
    <w:p>
      <w:pPr>
        <w:pStyle w:val="Heading1"/>
      </w:pPr>
      <w:r>
        <w:t xml:space="preserve">Part 6. Calibration</w:t>
      </w:r>
    </w:p>
    <w:bookmarkStart w:id="43" w:name="calibrating-at-all-measured"/>
    <w:p>
      <w:pPr>
        <w:pStyle w:val="Heading2"/>
      </w:pPr>
      <w:r>
        <w:t xml:space="preserve">6.1 Calibrating at all —</w:t>
      </w:r>
      <w:r>
        <w:t xml:space="preserve"> </w:t>
      </w:r>
      <w:r>
        <w:rPr>
          <w:b/>
          <w:bCs/>
        </w:rPr>
        <w:t xml:space="preserve">[MEASURED]</w:t>
      </w:r>
    </w:p>
    <w:p>
      <w:pPr>
        <w:pStyle w:val="FirstParagraph"/>
      </w:pPr>
      <w:r>
        <w:t xml:space="preserve">Random-forest votes cluster toward the middle and a raw 0.72 is not a 72 per cent chance. Across the</w:t>
      </w:r>
      <w:r>
        <w:t xml:space="preserve"> </w:t>
      </w:r>
      <w:r>
        <w:t xml:space="preserve">eight core classifiers, isotonic calibration takes expected calibration error from a mean of</w:t>
      </w:r>
      <w:r>
        <w:t xml:space="preserve"> </w:t>
      </w:r>
      <w:r>
        <w:rPr>
          <w:b/>
          <w:bCs/>
        </w:rPr>
        <w:t xml:space="preserve">0.0801 to 0.0147</w:t>
      </w:r>
      <w:r>
        <w:t xml:space="preserve">.</w:t>
      </w:r>
    </w:p>
    <w:bookmarkEnd w:id="43"/>
    <w:bookmarkStart w:id="44" w:name="Xc8b2b8c382e98f8595e1752dea0ecfff97e2412"/>
    <w:p>
      <w:pPr>
        <w:pStyle w:val="Heading2"/>
      </w:pPr>
      <w:r>
        <w:t xml:space="preserve">6.2 Isotonic on the core, Platt on the panel —</w:t>
      </w:r>
      <w:r>
        <w:t xml:space="preserve"> </w:t>
      </w:r>
      <w:r>
        <w:rPr>
          <w:b/>
          <w:bCs/>
        </w:rPr>
        <w:t xml:space="preserve">[DECLARED]</w:t>
      </w:r>
    </w:p>
    <w:p>
      <w:pPr>
        <w:pStyle w:val="FirstParagraph"/>
      </w:pPr>
      <w:r>
        <w:t xml:space="preserve">Isotonic regression is non-parametric, so it can repair a badly shaped calibration curve, and it is</w:t>
      </w:r>
      <w:r>
        <w:t xml:space="preserve"> </w:t>
      </w:r>
      <w:r>
        <w:t xml:space="preserve">fitted on</w:t>
      </w:r>
      <w:r>
        <w:t xml:space="preserve"> </w:t>
      </w:r>
      <w:r>
        <w:rPr>
          <w:b/>
          <w:bCs/>
        </w:rPr>
        <w:t xml:space="preserve">out-of-fold</w:t>
      </w:r>
      <w:r>
        <w:t xml:space="preserve"> </w:t>
      </w:r>
      <w:r>
        <w:t xml:space="preserve">predictions with an inner 5-fold because a non-parametric calibrator fitted</w:t>
      </w:r>
      <w:r>
        <w:t xml:space="preserve"> </w:t>
      </w:r>
      <w:r>
        <w:t xml:space="preserve">on training scores would overfit. Platt scaling has two parameters, cannot repair a non-sigmoidal</w:t>
      </w:r>
      <w:r>
        <w:t xml:space="preserve"> </w:t>
      </w:r>
      <w:r>
        <w:t xml:space="preserve">distortion, and is far more stable on the small calibration sets the binder endpoints have.</w:t>
      </w:r>
    </w:p>
    <w:p>
      <w:pPr>
        <w:pStyle w:val="BodyText"/>
      </w:pPr>
      <w:r>
        <w:rPr>
          <w:i/>
          <w:iCs/>
        </w:rPr>
        <w:t xml:space="preserve">The consequence, which belongs in the same breath.</w:t>
      </w:r>
      <w:r>
        <w:t xml:space="preserve"> </w:t>
      </w:r>
      <w:r>
        <w:t xml:space="preserve">The binder endpoints that carry a measured</w:t>
      </w:r>
      <w:r>
        <w:t xml:space="preserve"> </w:t>
      </w:r>
      <w:r>
        <w:t xml:space="preserve">calibration error average</w:t>
      </w:r>
      <w:r>
        <w:t xml:space="preserve"> </w:t>
      </w:r>
      <w:r>
        <w:rPr>
          <w:b/>
          <w:bCs/>
        </w:rPr>
        <w:t xml:space="preserve">0.0762</w:t>
      </w:r>
      <w:r>
        <w:t xml:space="preserve">, about five times the core figure, and</w:t>
      </w:r>
      <w:r>
        <w:t xml:space="preserve"> </w:t>
      </w:r>
      <w:r>
        <w:rPr>
          <w:b/>
          <w:bCs/>
        </w:rPr>
        <w:t xml:space="preserve">nine of the 47 carry no</w:t>
      </w:r>
      <w:r>
        <w:rPr>
          <w:b/>
          <w:bCs/>
        </w:rPr>
        <w:t xml:space="preserve"> </w:t>
      </w:r>
      <w:r>
        <w:rPr>
          <w:b/>
          <w:bCs/>
        </w:rPr>
        <w:t xml:space="preserve">measured calibration error at all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9" w:name="Xd9ece46d5c07484a7a74d1779f5d43b1e2515d8"/>
    <w:p>
      <w:pPr>
        <w:pStyle w:val="Heading1"/>
      </w:pPr>
      <w:r>
        <w:t xml:space="preserve">Part 7. Thresholds and the reliability gate</w:t>
      </w:r>
    </w:p>
    <w:bookmarkStart w:id="46" w:name="Xbde1fa794653cde6113748c4485a0b48fed36ae"/>
    <w:p>
      <w:pPr>
        <w:pStyle w:val="Heading2"/>
      </w:pPr>
      <w:r>
        <w:t xml:space="preserve">7.1 Two constraints, the stricter binding —</w:t>
      </w:r>
      <w:r>
        <w:t xml:space="preserve"> </w:t>
      </w:r>
      <w:r>
        <w:rPr>
          <w:b/>
          <w:bCs/>
        </w:rPr>
        <w:t xml:space="preserve">[MEASURED]</w:t>
      </w:r>
    </w:p>
    <w:p>
      <w:pPr>
        <w:pStyle w:val="FirstParagraph"/>
      </w:pPr>
      <w:r>
        <w:t xml:space="preserve">Each binder threshold is the stricter of: at most</w:t>
      </w:r>
      <w:r>
        <w:t xml:space="preserve"> </w:t>
      </w:r>
      <w:r>
        <w:rPr>
          <w:b/>
          <w:bCs/>
        </w:rPr>
        <w:t xml:space="preserve">0.10</w:t>
      </w:r>
      <w:r>
        <w:t xml:space="preserve"> </w:t>
      </w:r>
      <w:r>
        <w:t xml:space="preserve">of the target’s held-out measured inactives</w:t>
      </w:r>
      <w:r>
        <w:t xml:space="preserve"> </w:t>
      </w:r>
      <w:r>
        <w:t xml:space="preserve">called a binder, and at most</w:t>
      </w:r>
      <w:r>
        <w:t xml:space="preserve"> </w:t>
      </w:r>
      <w:r>
        <w:rPr>
          <w:b/>
          <w:bCs/>
        </w:rPr>
        <w:t xml:space="preserve">0.05</w:t>
      </w:r>
      <w:r>
        <w:t xml:space="preserve"> </w:t>
      </w:r>
      <w:r>
        <w:t xml:space="preserve">of the threshold pool.</w:t>
      </w:r>
    </w:p>
    <w:p>
      <w:pPr>
        <w:pStyle w:val="BodyText"/>
      </w:pPr>
      <w:r>
        <w:rPr>
          <w:i/>
          <w:iCs/>
        </w:rPr>
        <w:t xml:space="preserve">Why the second constraint exists</w:t>
      </w:r>
      <w:r>
        <w:t xml:space="preserve">, and the example is the justification: a prospective test found</w:t>
      </w:r>
      <w:r>
        <w:t xml:space="preserve"> </w:t>
      </w:r>
      <w:r>
        <w:t xml:space="preserve">Nav1.1 assigning glucose a binder probability of 0.806 while scoring 0.979 against its own assay’s</w:t>
      </w:r>
      <w:r>
        <w:t xml:space="preserve"> </w:t>
      </w:r>
      <w:r>
        <w:t xml:space="preserve">negatives.</w:t>
      </w:r>
      <w:r>
        <w:t xml:space="preserve"> </w:t>
      </w:r>
      <w:r>
        <w:rPr>
          <w:b/>
          <w:bCs/>
        </w:rPr>
        <w:t xml:space="preserve">A model judged only on its own chemistry can be confidently wrong about everything</w:t>
      </w:r>
      <w:r>
        <w:rPr>
          <w:b/>
          <w:bCs/>
        </w:rPr>
        <w:t xml:space="preserve"> </w:t>
      </w:r>
      <w:r>
        <w:rPr>
          <w:b/>
          <w:bCs/>
        </w:rPr>
        <w:t xml:space="preserve">else.</w:t>
      </w:r>
      <w:r>
        <w:t xml:space="preserve"> </w:t>
      </w:r>
      <w:r>
        <w:t xml:space="preserve">Nav1.1 was withdrawn on that evidence.</w:t>
      </w:r>
    </w:p>
    <w:bookmarkEnd w:id="46"/>
    <w:bookmarkStart w:id="47" w:name="the-rate-targets-themselves-declared"/>
    <w:p>
      <w:pPr>
        <w:pStyle w:val="Heading2"/>
      </w:pPr>
      <w:r>
        <w:t xml:space="preserve">7.2 The rate targets themselves —</w:t>
      </w:r>
      <w:r>
        <w:t xml:space="preserve"> </w:t>
      </w:r>
      <w:r>
        <w:rPr>
          <w:b/>
          <w:bCs/>
        </w:rPr>
        <w:t xml:space="preserve">[DECLARED]</w:t>
      </w:r>
    </w:p>
    <w:p>
      <w:pPr>
        <w:pStyle w:val="FirstParagraph"/>
      </w:pPr>
      <w:r>
        <w:t xml:space="preserve">0.10, 0.05 and the screening set’s 0.01 are design choices about how much false positivity a user</w:t>
      </w:r>
      <w:r>
        <w:t xml:space="preserve"> </w:t>
      </w:r>
      <w:r>
        <w:t xml:space="preserve">should meet, not measurements. What is measured is the price: panel mean sensitivity</w:t>
      </w:r>
      <w:r>
        <w:t xml:space="preserve"> </w:t>
      </w:r>
      <w:r>
        <w:rPr>
          <w:b/>
          <w:bCs/>
        </w:rPr>
        <w:t xml:space="preserve">0.7638</w:t>
      </w:r>
      <w:r>
        <w:t xml:space="preserve">,</w:t>
      </w:r>
      <w:r>
        <w:t xml:space="preserve"> </w:t>
      </w:r>
      <w:r>
        <w:t xml:space="preserve">median 0.835, from 0.303 to 0.993.</w:t>
      </w:r>
    </w:p>
    <w:p>
      <w:pPr>
        <w:pStyle w:val="BodyText"/>
      </w:pPr>
      <w:r>
        <w:rPr>
          <w:i/>
          <w:iCs/>
        </w:rPr>
        <w:t xml:space="preserve">The trade is stated in the direction that does not flatter.</w:t>
      </w:r>
      <w:r>
        <w:t xml:space="preserve"> </w:t>
      </w:r>
      <w:r>
        <w:t xml:space="preserve">Higher sensitivity is available at any</w:t>
      </w:r>
      <w:r>
        <w:t xml:space="preserve"> </w:t>
      </w:r>
      <w:r>
        <w:t xml:space="preserve">time by relaxing to a background-only threshold. For three endpoints the binding constraint is</w:t>
      </w:r>
      <w:r>
        <w:t xml:space="preserve"> </w:t>
      </w:r>
      <w:r>
        <w:t xml:space="preserve">separation from compounds an experiment has already reported as non-binders, so relaxing would mean</w:t>
      </w:r>
      <w:r>
        <w:t xml:space="preserve"> </w:t>
      </w:r>
      <w:r>
        <w:t xml:space="preserve">calling those compounds binders. Higher sensitivity, less truthful server.</w:t>
      </w:r>
    </w:p>
    <w:bookmarkEnd w:id="47"/>
    <w:bookmarkStart w:id="48" w:name="Xf6b6fd6ff305da1e8fd30771f6663ae96edff78"/>
    <w:p>
      <w:pPr>
        <w:pStyle w:val="Heading2"/>
      </w:pPr>
      <w:r>
        <w:t xml:space="preserve">7.3 The reliability gate at 0.50 sensitivity and 0.75 AUROC —</w:t>
      </w:r>
      <w:r>
        <w:t xml:space="preserve"> </w:t>
      </w:r>
      <w:r>
        <w:rPr>
          <w:b/>
          <w:bCs/>
        </w:rPr>
        <w:t xml:space="preserve">[DECLARED]</w:t>
      </w:r>
    </w:p>
    <w:p>
      <w:pPr>
        <w:pStyle w:val="FirstParagraph"/>
      </w:pPr>
      <w:r>
        <w:t xml:space="preserve">Six of 47 deployed endpoints fail it and carry a flag on every result. The thresholds are choices.</w:t>
      </w:r>
      <w:r>
        <w:t xml:space="preserve"> </w:t>
      </w:r>
      <w:r>
        <w:t xml:space="preserve">What justifies the arrangement is not the numbers but that the gate now lives in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place,</w:t>
      </w:r>
      <w:r>
        <w:t xml:space="preserve"> </w:t>
      </w:r>
      <w:r>
        <w:rPr>
          <w:rStyle w:val="VerbatimChar"/>
        </w:rPr>
        <w:t xml:space="preserve">panel.py</w:t>
      </w:r>
      <w:r>
        <w:t xml:space="preserve">, imported by five writers, the figure and the app. It previously lived in six places and</w:t>
      </w:r>
      <w:r>
        <w:t xml:space="preserve"> </w:t>
      </w:r>
      <w:r>
        <w:t xml:space="preserve">disagreed with itself in three, which meant the About page named ten endpoints while six carried the</w:t>
      </w:r>
      <w:r>
        <w:t xml:space="preserve"> </w:t>
      </w:r>
      <w:r>
        <w:t xml:space="preserve">marker.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4" w:name="part-8.-testing"/>
    <w:p>
      <w:pPr>
        <w:pStyle w:val="Heading1"/>
      </w:pPr>
      <w:r>
        <w:t xml:space="preserve">Part 8. Testing</w:t>
      </w:r>
    </w:p>
    <w:bookmarkStart w:id="50" w:name="reporting-both-splits-declared"/>
    <w:p>
      <w:pPr>
        <w:pStyle w:val="Heading2"/>
      </w:pPr>
      <w:r>
        <w:t xml:space="preserve">8.1 Reporting both splits —</w:t>
      </w:r>
      <w:r>
        <w:t xml:space="preserve"> </w:t>
      </w:r>
      <w:r>
        <w:rPr>
          <w:b/>
          <w:bCs/>
        </w:rPr>
        <w:t xml:space="preserve">[DECLARED]</w:t>
      </w:r>
    </w:p>
    <w:p>
      <w:pPr>
        <w:pStyle w:val="FirstParagraph"/>
      </w:pPr>
      <w:r>
        <w:t xml:space="preserve">Both random and scaffold figures are reported for every endpoint, always. Reporting only the scaffold</w:t>
      </w:r>
      <w:r>
        <w:t xml:space="preserve"> </w:t>
      </w:r>
      <w:r>
        <w:t xml:space="preserve">number would look rigorous and would hide the size of the analogue effect, which is itself a finding.</w:t>
      </w:r>
    </w:p>
    <w:bookmarkEnd w:id="50"/>
    <w:bookmarkStart w:id="51" w:name="the-permutation-null-measured"/>
    <w:p>
      <w:pPr>
        <w:pStyle w:val="Heading2"/>
      </w:pPr>
      <w:r>
        <w:t xml:space="preserve">8.2 The permutation null —</w:t>
      </w:r>
      <w:r>
        <w:t xml:space="preserve"> </w:t>
      </w:r>
      <w:r>
        <w:rPr>
          <w:b/>
          <w:bCs/>
        </w:rPr>
        <w:t xml:space="preserve">[MEASURED]</w:t>
      </w:r>
    </w:p>
    <w:p>
      <w:pPr>
        <w:pStyle w:val="FirstParagraph"/>
      </w:pPr>
      <w:r>
        <w:t xml:space="preserve">With labels permuted, the same pipeline on the same folds returns</w:t>
      </w:r>
      <w:r>
        <w:t xml:space="preserve"> </w:t>
      </w:r>
      <w:r>
        <w:rPr>
          <w:b/>
          <w:bCs/>
        </w:rPr>
        <w:t xml:space="preserve">0.4959</w:t>
      </w:r>
      <w:r>
        <w:t xml:space="preserve"> </w:t>
      </w:r>
      <w:r>
        <w:t xml:space="preserve">random and</w:t>
      </w:r>
      <w:r>
        <w:t xml:space="preserve"> </w:t>
      </w:r>
      <w:r>
        <w:rPr>
          <w:b/>
          <w:bCs/>
        </w:rPr>
        <w:t xml:space="preserve">0.5026</w:t>
      </w:r>
      <w:r>
        <w:t xml:space="preserve"> </w:t>
      </w:r>
      <w:r>
        <w:t xml:space="preserve">scaffold, all sixteen values within</w:t>
      </w:r>
      <w:r>
        <w:t xml:space="preserve"> </w:t>
      </w:r>
      <w:r>
        <w:rPr>
          <w:b/>
          <w:bCs/>
        </w:rPr>
        <w:t xml:space="preserve">0.0200</w:t>
      </w:r>
      <w:r>
        <w:t xml:space="preserve"> </w:t>
      </w:r>
      <w:r>
        <w:t xml:space="preserve">of chance.</w:t>
      </w:r>
    </w:p>
    <w:p>
      <w:pPr>
        <w:pStyle w:val="BodyText"/>
      </w:pPr>
      <w:r>
        <w:rPr>
          <w:i/>
          <w:iCs/>
        </w:rPr>
        <w:t xml:space="preserve">Why it is not a formality.</w:t>
      </w:r>
      <w:r>
        <w:t xml:space="preserve"> </w:t>
      </w:r>
      <w:r>
        <w:t xml:space="preserve">It tests two things at once: that the cross-validated figures are not</w:t>
      </w:r>
      <w:r>
        <w:t xml:space="preserve"> </w:t>
      </w:r>
      <w:r>
        <w:t xml:space="preserve">obtainable without the labels, and that scaffold grouping alone confers no advantage. The second is</w:t>
      </w:r>
      <w:r>
        <w:t xml:space="preserve"> </w:t>
      </w:r>
      <w:r>
        <w:t xml:space="preserve">the specific route a reviewer suspects, because whole scaffold classes could in principle carry enough</w:t>
      </w:r>
      <w:r>
        <w:t xml:space="preserve"> </w:t>
      </w:r>
      <w:r>
        <w:t xml:space="preserve">class-frequency information for a label-free model to exploit the grouping. They do not.</w:t>
      </w:r>
    </w:p>
    <w:bookmarkEnd w:id="51"/>
    <w:bookmarkStart w:id="52" w:name="X9100e6640d143bd0ab166b4583108fb1ba52b84"/>
    <w:p>
      <w:pPr>
        <w:pStyle w:val="Heading2"/>
      </w:pPr>
      <w:r>
        <w:t xml:space="preserve">8.3 External validation only for the barrier model —</w:t>
      </w:r>
      <w:r>
        <w:t xml:space="preserve"> </w:t>
      </w:r>
      <w:r>
        <w:rPr>
          <w:b/>
          <w:bCs/>
        </w:rPr>
        <w:t xml:space="preserve">[FORCED]</w:t>
      </w:r>
    </w:p>
    <w:p>
      <w:pPr>
        <w:pStyle w:val="FirstParagraph"/>
      </w:pPr>
      <w:r>
        <w:t xml:space="preserve">There is one genuine external set: FDA-curated approved drugs absent from B3DB, AUROC</w:t>
      </w:r>
      <w:r>
        <w:t xml:space="preserve"> </w:t>
      </w:r>
      <w:r>
        <w:rPr>
          <w:b/>
          <w:bCs/>
        </w:rPr>
        <w:t xml:space="preserve">0.7934</w:t>
      </w:r>
      <w:r>
        <w:t xml:space="preserve"> </w:t>
      </w:r>
      <w:r>
        <w:t xml:space="preserve">on</w:t>
      </w:r>
      <w:r>
        <w:t xml:space="preserve"> </w:t>
      </w:r>
      <w:r>
        <w:t xml:space="preserve">the 241 also novel in feature space. For the target panel no such set exists, and the reason is</w:t>
      </w:r>
      <w:r>
        <w:t xml:space="preserve"> </w:t>
      </w:r>
      <w:r>
        <w:t xml:space="preserve">structural rather than lazy: for most of those proteins the public record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training set.</w:t>
      </w:r>
      <w:r>
        <w:t xml:space="preserve"> </w:t>
      </w:r>
      <w:r>
        <w:t xml:space="preserve">Claiming an external validation for the panel would require inventing one.</w:t>
      </w:r>
    </w:p>
    <w:p>
      <w:pPr>
        <w:pStyle w:val="BodyText"/>
      </w:pPr>
      <w:r>
        <w:rPr>
          <w:i/>
          <w:iCs/>
        </w:rPr>
        <w:t xml:space="preserve">Why the 241 and not the 306.</w:t>
      </w:r>
      <w:r>
        <w:t xml:space="preserve"> </w:t>
      </w:r>
      <w:r>
        <w:t xml:space="preserve">Excluding overlap by InChIKey is not enough, because the InChIKey</w:t>
      </w:r>
      <w:r>
        <w:t xml:space="preserve"> </w:t>
      </w:r>
      <w:r>
        <w:t xml:space="preserve">separates stereoisomers and salts and the featuriser does not. The 65 compounds that are</w:t>
      </w:r>
      <w:r>
        <w:t xml:space="preserve"> </w:t>
      </w:r>
      <w:r>
        <w:t xml:space="preserve">feature-identical to a training compound score</w:t>
      </w:r>
      <w:r>
        <w:t xml:space="preserve"> </w:t>
      </w:r>
      <w:r>
        <w:rPr>
          <w:b/>
          <w:bCs/>
        </w:rPr>
        <w:t xml:space="preserve">0.7102</w:t>
      </w:r>
      <w:r>
        <w:t xml:space="preserve">; they are memorisation, and the difference</w:t>
      </w:r>
      <w:r>
        <w:t xml:space="preserve"> </w:t>
      </w:r>
      <w:r>
        <w:t xml:space="preserve">between 0.7645 and 0.7934 is the size of it.</w:t>
      </w:r>
    </w:p>
    <w:bookmarkEnd w:id="52"/>
    <w:bookmarkStart w:id="53" w:name="X7f2f64e7720319cb49b1969c751a10663787a20"/>
    <w:p>
      <w:pPr>
        <w:pStyle w:val="Heading2"/>
      </w:pPr>
      <w:r>
        <w:t xml:space="preserve">8.4 The falsification suite —</w:t>
      </w:r>
      <w:r>
        <w:t xml:space="preserve"> </w:t>
      </w:r>
      <w:r>
        <w:rPr>
          <w:b/>
          <w:bCs/>
        </w:rPr>
        <w:t xml:space="preserve">[DECLARED]</w:t>
      </w:r>
      <w:r>
        <w:t xml:space="preserve">, and it is the methodological core</w:t>
      </w:r>
    </w:p>
    <w:p>
      <w:pPr>
        <w:pStyle w:val="FirstParagraph"/>
      </w:pPr>
      <w:r>
        <w:t xml:space="preserve">Ten hypotheses, each stated so that it could fail and each paired with a null model capable of</w:t>
      </w:r>
      <w:r>
        <w:t xml:space="preserve"> </w:t>
      </w:r>
      <w:r>
        <w:t xml:space="preserve">producing the same apparent success by accident.</w:t>
      </w:r>
      <w:r>
        <w:t xml:space="preserve"> </w:t>
      </w:r>
      <w:r>
        <w:rPr>
          <w:b/>
          <w:bCs/>
        </w:rPr>
        <w:t xml:space="preserve">Four were refuted and two weakened.</w:t>
      </w:r>
    </w:p>
    <w:p>
      <w:pPr>
        <w:pStyle w:val="BodyText"/>
      </w:pPr>
      <w:r>
        <w:rPr>
          <w:i/>
          <w:iCs/>
        </w:rPr>
        <w:t xml:space="preserve">Why this is a criterion and not a result.</w:t>
      </w:r>
      <w:r>
        <w:t xml:space="preserve"> </w:t>
      </w:r>
      <w:r>
        <w:t xml:space="preserve">Every other number in the project was produced by people</w:t>
      </w:r>
      <w:r>
        <w:t xml:space="preserve"> </w:t>
      </w:r>
      <w:r>
        <w:t xml:space="preserve">who wanted the tool to work. The suite is the only part designed by someone trying to break it, it is</w:t>
      </w:r>
      <w:r>
        <w:t xml:space="preserve"> </w:t>
      </w:r>
      <w:r>
        <w:t xml:space="preserve">read-only by construction, and acting on a finding is a separate commit so a wording change can never</w:t>
      </w:r>
      <w:r>
        <w:t xml:space="preserve"> </w:t>
      </w:r>
      <w:r>
        <w:t xml:space="preserve">be mistaken for evidence. A suite in which nothing is ever refuted is a suite of tests that cannot</w:t>
      </w:r>
      <w:r>
        <w:t xml:space="preserve"> </w:t>
      </w:r>
      <w:r>
        <w:t xml:space="preserve">fail.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7" w:name="Xcd079f6ad16b104f60b27e44d8c7fbf784a11d2"/>
    <w:p>
      <w:pPr>
        <w:pStyle w:val="Heading1"/>
      </w:pPr>
      <w:r>
        <w:t xml:space="preserve">Part 9. The criteria with no evidence behind them</w:t>
      </w:r>
    </w:p>
    <w:p>
      <w:pPr>
        <w:pStyle w:val="FirstParagraph"/>
      </w:pPr>
      <w:r>
        <w:t xml:space="preserve">Collected here rather than left scattered, because a reader is entitled to see them together.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Criterion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Fingerprint radius and width</w:t>
            </w:r>
          </w:p>
        </w:tc>
        <w:tc>
          <w:tcPr/>
          <w:p>
            <w:pPr>
              <w:pStyle w:val="Compact"/>
            </w:pPr>
            <w:r>
              <w:t xml:space="preserve">ECFP-4, 1,024 bits</w:t>
            </w:r>
          </w:p>
        </w:tc>
        <w:tc>
          <w:tcPr/>
          <w:p>
            <w:pPr>
              <w:pStyle w:val="Compact"/>
            </w:pPr>
            <w:r>
              <w:t xml:space="preserve">Convention; no sweep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Trees per forest</w:t>
            </w:r>
          </w:p>
        </w:tc>
        <w:tc>
          <w:tcPr/>
          <w:p>
            <w:pPr>
              <w:pStyle w:val="Compact"/>
            </w:pPr>
            <w:r>
              <w:t xml:space="preserve">300</w:t>
            </w:r>
          </w:p>
        </w:tc>
        <w:tc>
          <w:tcPr/>
          <w:p>
            <w:pPr>
              <w:pStyle w:val="Compact"/>
            </w:pPr>
            <w:r>
              <w:t xml:space="preserve">Declared; no sweep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Minimum leaf size</w:t>
            </w:r>
          </w:p>
        </w:tc>
        <w:tc>
          <w:tcPr/>
          <w:p>
            <w:pPr>
              <w:pStyle w:val="Compact"/>
            </w:pPr>
            <w:r>
              <w:t xml:space="preserve">2 core, 4 binder</w:t>
            </w:r>
          </w:p>
        </w:tc>
        <w:tc>
          <w:tcPr/>
          <w:p>
            <w:pPr>
              <w:pStyle w:val="Compact"/>
            </w:pPr>
            <w:r>
              <w:t xml:space="preserve">Declared; no sweep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Boosting settings</w:t>
            </w:r>
          </w:p>
        </w:tc>
        <w:tc>
          <w:tcPr/>
          <w:p>
            <w:pPr>
              <w:pStyle w:val="Compact"/>
            </w:pPr>
            <w:r>
              <w:t xml:space="preserve">400 estimators, lr 0.05 / 0.06, depth 6</w:t>
            </w:r>
          </w:p>
        </w:tc>
        <w:tc>
          <w:tcPr/>
          <w:p>
            <w:pPr>
              <w:pStyle w:val="Compact"/>
            </w:pPr>
            <w:r>
              <w:t xml:space="preserve">Declared; no sweep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Decoy ratio</w:t>
            </w:r>
          </w:p>
        </w:tc>
        <w:tc>
          <w:tcPr/>
          <w:p>
            <w:pPr>
              <w:pStyle w:val="Compact"/>
            </w:pPr>
            <w:r>
              <w:t xml:space="preserve">3 per active</w:t>
            </w:r>
          </w:p>
        </w:tc>
        <w:tc>
          <w:tcPr/>
          <w:p>
            <w:pPr>
              <w:pStyle w:val="Compact"/>
            </w:pPr>
            <w:r>
              <w:t xml:space="preserve">Convention; no sweep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Decoy similarity ceiling</w:t>
            </w:r>
          </w:p>
        </w:tc>
        <w:tc>
          <w:tcPr/>
          <w:p>
            <w:pPr>
              <w:pStyle w:val="Compact"/>
            </w:pPr>
            <w:r>
              <w:t xml:space="preserve">Tanimoto &lt; 0.35</w:t>
            </w:r>
          </w:p>
        </w:tc>
        <w:tc>
          <w:tcPr/>
          <w:p>
            <w:pPr>
              <w:pStyle w:val="Compact"/>
            </w:pPr>
            <w:r>
              <w:t xml:space="preserve">Convention; no sweep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Active hold-out share</w:t>
            </w:r>
          </w:p>
        </w:tc>
        <w:tc>
          <w:tcPr/>
          <w:p>
            <w:pPr>
              <w:pStyle w:val="Compact"/>
            </w:pPr>
            <w:r>
              <w:t xml:space="preserve">0.20 of scaffold groups</w:t>
            </w:r>
          </w:p>
        </w:tc>
        <w:tc>
          <w:tcPr/>
          <w:p>
            <w:pPr>
              <w:pStyle w:val="Compact"/>
            </w:pPr>
            <w:r>
              <w:t xml:space="preserve">Declared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Background pool shares</w:t>
            </w:r>
          </w:p>
        </w:tc>
        <w:tc>
          <w:tcPr/>
          <w:p>
            <w:pPr>
              <w:pStyle w:val="Compact"/>
            </w:pPr>
            <w:r>
              <w:t xml:space="preserve">60 / 20 / 20</w:t>
            </w:r>
          </w:p>
        </w:tc>
        <w:tc>
          <w:tcPr/>
          <w:p>
            <w:pPr>
              <w:pStyle w:val="Compact"/>
            </w:pPr>
            <w:r>
              <w:t xml:space="preserve">Declared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False-positive targets</w:t>
            </w:r>
          </w:p>
        </w:tc>
        <w:tc>
          <w:tcPr/>
          <w:p>
            <w:pPr>
              <w:pStyle w:val="Compact"/>
            </w:pPr>
            <w:r>
              <w:t xml:space="preserve">0.10, 0.05, 0.01</w:t>
            </w:r>
          </w:p>
        </w:tc>
        <w:tc>
          <w:tcPr/>
          <w:p>
            <w:pPr>
              <w:pStyle w:val="Compact"/>
            </w:pPr>
            <w:r>
              <w:t xml:space="preserve">Declared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Reliability gate</w:t>
            </w:r>
          </w:p>
        </w:tc>
        <w:tc>
          <w:tcPr/>
          <w:p>
            <w:pPr>
              <w:pStyle w:val="Compact"/>
            </w:pPr>
            <w:r>
              <w:t xml:space="preserve">sensitivity 0.50, AUROC 0.75</w:t>
            </w:r>
          </w:p>
        </w:tc>
        <w:tc>
          <w:tcPr/>
          <w:p>
            <w:pPr>
              <w:pStyle w:val="Compact"/>
            </w:pPr>
            <w:r>
              <w:t xml:space="preserve">Declared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Reporting threshold</w:t>
            </w:r>
          </w:p>
        </w:tc>
        <w:tc>
          <w:tcPr/>
          <w:p>
            <w:pPr>
              <w:pStyle w:val="Compact"/>
            </w:pPr>
            <w:r>
              <w:t xml:space="preserve">gated score 0.30</w:t>
            </w:r>
          </w:p>
        </w:tc>
        <w:tc>
          <w:tcPr/>
          <w:p>
            <w:pPr>
              <w:pStyle w:val="Compact"/>
            </w:pPr>
            <w:r>
              <w:t xml:space="preserve">Declared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Conformal error rate</w:t>
            </w:r>
          </w:p>
        </w:tc>
        <w:tc>
          <w:tcPr/>
          <w:p>
            <w:pPr>
              <w:pStyle w:val="Compact"/>
            </w:pPr>
            <w:r>
              <w:t xml:space="preserve">ε = 0.10</w:t>
            </w:r>
          </w:p>
        </w:tc>
        <w:tc>
          <w:tcPr/>
          <w:p>
            <w:pPr>
              <w:pStyle w:val="Compact"/>
            </w:pPr>
            <w:r>
              <w:t xml:space="preserve">Declared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Applicability bands</w:t>
            </w:r>
          </w:p>
        </w:tc>
        <w:tc>
          <w:tcPr/>
          <w:p>
            <w:pPr>
              <w:pStyle w:val="Compact"/>
            </w:pPr>
            <w:r>
              <w:t xml:space="preserve">0.30 and 0.50</w:t>
            </w:r>
          </w:p>
        </w:tc>
        <w:tc>
          <w:tcPr/>
          <w:p>
            <w:pPr>
              <w:pStyle w:val="Compact"/>
            </w:pPr>
            <w:r>
              <w:t xml:space="preserve">Convention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Grey zone</w:t>
            </w:r>
          </w:p>
        </w:tc>
        <w:tc>
          <w:tcPr/>
          <w:p>
            <w:pPr>
              <w:pStyle w:val="Compact"/>
            </w:pPr>
            <w:r>
              <w:t xml:space="preserve">pChEMBL 5 to 6 discarded</w:t>
            </w:r>
          </w:p>
        </w:tc>
        <w:tc>
          <w:tcPr/>
          <w:p>
            <w:pPr>
              <w:pStyle w:val="Compact"/>
            </w:pPr>
            <w:r>
              <w:t xml:space="preserve">Declared</w:t>
            </w:r>
          </w:p>
        </w:tc>
      </w:tr>
    </w:tbl>
    <w:bookmarkStart w:id="55" w:name="X2e8dca47b5eadd55cb79e95636458fc51b6ca47"/>
    <w:p>
      <w:pPr>
        <w:pStyle w:val="Heading2"/>
      </w:pPr>
      <w:r>
        <w:t xml:space="preserve">The one that matters most: nothing was tuned</w:t>
      </w:r>
    </w:p>
    <w:p>
      <w:pPr>
        <w:pStyle w:val="FirstParagraph"/>
      </w:pPr>
      <w:r>
        <w:rPr>
          <w:b/>
          <w:bCs/>
        </w:rPr>
        <w:t xml:space="preserve">No grid search, no randomised search, no sweep over any hyper-parameter exists anywhere in this</w:t>
      </w:r>
      <w:r>
        <w:rPr>
          <w:b/>
          <w:bCs/>
        </w:rPr>
        <w:t xml:space="preserve"> </w:t>
      </w:r>
      <w:r>
        <w:rPr>
          <w:b/>
          <w:bCs/>
        </w:rPr>
        <w:t xml:space="preserve">project.</w:t>
      </w:r>
      <w:r>
        <w:t xml:space="preserve"> </w:t>
      </w:r>
      <w:r>
        <w:t xml:space="preserve">Every setting above is a default or a declared choice.</w:t>
      </w:r>
    </w:p>
    <w:p>
      <w:pPr>
        <w:pStyle w:val="BodyText"/>
      </w:pPr>
      <w:r>
        <w:rPr>
          <w:i/>
          <w:iCs/>
        </w:rPr>
        <w:t xml:space="preserve">What that forfeits.</w:t>
      </w:r>
      <w:r>
        <w:t xml:space="preserve"> </w:t>
      </w:r>
      <w:r>
        <w:t xml:space="preserve">No claim can be made that these settings are optimal, or even good. A tuned</w:t>
      </w:r>
      <w:r>
        <w:t xml:space="preserve"> </w:t>
      </w:r>
      <w:r>
        <w:t xml:space="preserve">gradient booster would very likely beat this forest on several endpoints, and section 5.1 already</w:t>
      </w:r>
      <w:r>
        <w:t xml:space="preserve"> </w:t>
      </w:r>
      <w:r>
        <w:t xml:space="preserve">shows XGBoost beating it on all five regression endpoints untuned.</w:t>
      </w:r>
    </w:p>
    <w:p>
      <w:pPr>
        <w:pStyle w:val="BodyText"/>
      </w:pPr>
      <w:r>
        <w:rPr>
          <w:i/>
          <w:iCs/>
        </w:rPr>
        <w:t xml:space="preserve">What that buys, and it is not small.</w:t>
      </w:r>
      <w:r>
        <w:t xml:space="preserve"> </w:t>
      </w:r>
      <w:r>
        <w:t xml:space="preserve">There is</w:t>
      </w:r>
      <w:r>
        <w:t xml:space="preserve"> </w:t>
      </w:r>
      <w:r>
        <w:rPr>
          <w:b/>
          <w:bCs/>
        </w:rPr>
        <w:t xml:space="preserve">no tuning-set leakage</w:t>
      </w:r>
      <w:r>
        <w:t xml:space="preserve">, because there was no tuning</w:t>
      </w:r>
      <w:r>
        <w:t xml:space="preserve"> </w:t>
      </w:r>
      <w:r>
        <w:t xml:space="preserve">set. The commonest way a cross-validated figure is inflated in this field is selecting</w:t>
      </w:r>
      <w:r>
        <w:t xml:space="preserve"> </w:t>
      </w:r>
      <w:r>
        <w:t xml:space="preserve">hyper-parameters on the same folds the final number is reported from, and that failure mode is</w:t>
      </w:r>
      <w:r>
        <w:t xml:space="preserve"> </w:t>
      </w:r>
      <w:r>
        <w:t xml:space="preserve">structurally absent here. Combined with the permutation null and the scaffold split, the</w:t>
      </w:r>
      <w:r>
        <w:t xml:space="preserve"> </w:t>
      </w:r>
      <w:r>
        <w:t xml:space="preserve">cross-validated figures are about as free of optimistic bias as this design allows.</w:t>
      </w:r>
    </w:p>
    <w:p>
      <w:pPr>
        <w:pStyle w:val="BodyText"/>
      </w:pPr>
      <w:r>
        <w:rPr>
          <w:i/>
          <w:iCs/>
        </w:rPr>
        <w:t xml:space="preserve">The honest summary sentence.</w:t>
      </w:r>
      <w:r>
        <w:t xml:space="preserve"> </w:t>
      </w:r>
      <w:r>
        <w:t xml:space="preserve">This project chose to spend its effort on the correctness of the</w:t>
      </w:r>
      <w:r>
        <w:t xml:space="preserve"> </w:t>
      </w:r>
      <w:r>
        <w:t xml:space="preserve">evaluation rather than on the performance of the estimator, and the results should be read that way:</w:t>
      </w:r>
      <w:r>
        <w:t xml:space="preserve"> </w:t>
      </w:r>
      <w:r>
        <w:t xml:space="preserve">as a defensible measurement of an untuned model, not as a demonstration of the best achievable</w:t>
      </w:r>
      <w:r>
        <w:t xml:space="preserve"> </w:t>
      </w:r>
      <w:r>
        <w:t xml:space="preserve">accuracy.</w:t>
      </w:r>
    </w:p>
    <w:p>
      <w:r>
        <w:pict>
          <v:rect style="width:0;height:1.5pt" o:hralign="center" o:hrstd="t" o:hr="t"/>
        </w:pict>
      </w:r>
    </w:p>
    <w:bookmarkEnd w:id="55"/>
    <w:bookmarkStart w:id="56" w:name="outstanding-items-for-this-document"/>
    <w:p>
      <w:pPr>
        <w:pStyle w:val="Heading2"/>
      </w:pPr>
      <w:r>
        <w:t xml:space="preserve">Outstanding items for this document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 bit-width comparison is nearly free and would close section 3.2.</w:t>
      </w:r>
      <w:r>
        <w:t xml:space="preserve"> </w:t>
      </w:r>
      <w:r>
        <w:t xml:space="preserve">The 2,048-bit fingerprint is</w:t>
      </w:r>
      <w:r>
        <w:t xml:space="preserve"> </w:t>
      </w:r>
      <w:r>
        <w:t xml:space="preserve">already computed for the applicability domain, so scoring the panel at both widths on the existing</w:t>
      </w:r>
      <w:r>
        <w:t xml:space="preserve"> </w:t>
      </w:r>
      <w:r>
        <w:t xml:space="preserve">folds needs no new data.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decoy ratio and similarity ceiling have never been varied.</w:t>
      </w:r>
      <w:r>
        <w:t xml:space="preserve"> </w:t>
      </w:r>
      <w:r>
        <w:t xml:space="preserve">A sweep of either would either</w:t>
      </w:r>
      <w:r>
        <w:t xml:space="preserve"> </w:t>
      </w:r>
      <w:r>
        <w:t xml:space="preserve">justify the current values or improve them, and section 5.5 currently defends both by argument</w:t>
      </w:r>
      <w:r>
        <w:t xml:space="preserve"> </w:t>
      </w:r>
      <w:r>
        <w:t xml:space="preserve">alone.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Histogram gradient boosting runs unweighted in the family comparison</w:t>
      </w:r>
      <w:r>
        <w:t xml:space="preserve"> </w:t>
      </w:r>
      <w:r>
        <w:t xml:space="preserve">while three of the other</w:t>
      </w:r>
      <w:r>
        <w:t xml:space="preserve"> </w:t>
      </w:r>
      <w:r>
        <w:t xml:space="preserve">four are class-balanced. Either weight it or state the asymmetry wherever the comparison is quoted.</w:t>
      </w:r>
    </w:p>
    <w:bookmarkEnd w:id="56"/>
    <w:bookmarkEnd w:id="57"/>
    <w:sectPr w:rsidR="00FC693F" w:rsidRPr="0006063C" w:rsidSect="00034616">
      <w:pgSz w:h="16838" w:w="11906"/>
      <w:pgMar w:bottom="1134" w:footer="720" w:gutter="0" w:header="720" w:left="1247" w:right="1247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40" w:before="0" w:line="293" w:lineRule="auto"/>
    </w:pPr>
    <w:rPr>
      <w:rFonts w:ascii="Calibri" w:cs="Calibri" w:eastAsia="Calibri" w:hAnsi="Calibri"/>
      <w:b w:val="0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00" w:before="0" w:line="264" w:lineRule="auto"/>
      <w:outlineLvl w:val="0"/>
    </w:pPr>
    <w:rPr>
      <w:rFonts w:ascii="Calibri" w:asciiTheme="majorHAnsi" w:cs="Calibri" w:cstheme="majorBidi" w:eastAsia="Calibri" w:eastAsiaTheme="majorEastAsia" w:hAnsi="Calibri" w:hAnsiTheme="majorHAnsi"/>
      <w:b/>
      <w:bCs/>
      <w:color w:val="0D2137"/>
      <w:sz w:val="4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00" w:before="320" w:line="264" w:lineRule="auto"/>
      <w:outlineLvl w:val="1"/>
    </w:pPr>
    <w:rPr>
      <w:rFonts w:ascii="Calibri" w:asciiTheme="majorHAnsi" w:cs="Calibri" w:cstheme="majorBidi" w:eastAsia="Calibri" w:eastAsiaTheme="majorEastAsia" w:hAnsi="Calibri" w:hAnsiTheme="majorHAnsi"/>
      <w:b/>
      <w:bCs/>
      <w:color w:val="0D2137"/>
      <w:sz w:val="30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00" w:before="260" w:line="264" w:lineRule="auto"/>
      <w:outlineLvl w:val="2"/>
    </w:pPr>
    <w:rPr>
      <w:rFonts w:ascii="Calibri" w:asciiTheme="majorHAnsi" w:cs="Calibri" w:cstheme="majorBidi" w:eastAsia="Calibri" w:eastAsiaTheme="majorEastAsia" w:hAnsi="Calibri" w:hAnsiTheme="majorHAnsi"/>
      <w:b/>
      <w:bCs/>
      <w:color w:val="1A3A5C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100" w:before="200" w:line="264" w:lineRule="auto"/>
      <w:outlineLvl w:val="3"/>
    </w:pPr>
    <w:rPr>
      <w:rFonts w:ascii="Calibri" w:asciiTheme="majorHAnsi" w:cs="Calibri" w:cstheme="majorBidi" w:eastAsia="Calibri" w:eastAsiaTheme="majorEastAsia" w:hAnsi="Calibri" w:hAnsiTheme="majorHAnsi"/>
      <w:b/>
      <w:bCs/>
      <w:i/>
      <w:iCs/>
      <w:color w:val="1A3A5C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40" w:before="0" w:line="293" w:lineRule="auto"/>
    </w:pPr>
    <w:rPr>
      <w:rFonts w:ascii="Calibri" w:cs="Calibri" w:eastAsia="Calibri" w:hAnsi="Calibri"/>
      <w:b w:val="0"/>
      <w:sz w:val="21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after="240" w:before="0" w:line="276" w:lineRule="auto"/>
      <w:jc w:val="center"/>
    </w:pPr>
    <w:rPr>
      <w:rFonts w:ascii="Calibri" w:cs="Calibri" w:eastAsia="Calibri" w:hAnsi="Calibri"/>
      <w:b w:val="0"/>
      <w:bCs/>
      <w:color w:val="5A6672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Table" w:type="table">
    <w:name w:val="Table"/>
    <w:pPr>
      <w:spacing w:after="0" w:before="0" w:line="252" w:lineRule="auto"/>
    </w:pPr>
    <w:rPr>
      <w:rFonts w:ascii="Calibri" w:cs="Calibri" w:eastAsia="Calibri" w:hAnsi="Calibri"/>
      <w:b w:val="0"/>
      <w:sz w:val="17"/>
    </w:rPr>
    <w:tblPr>
      <w:tblBorders>
        <w:top w:color="C8D2DF" w:space="0" w:sz="4" w:val="single"/>
        <w:left w:color="C8D2DF" w:space="0" w:sz="4" w:val="single"/>
        <w:bottom w:color="C8D2DF" w:space="0" w:sz="4" w:val="single"/>
        <w:right w:color="C8D2DF" w:space="0" w:sz="4" w:val="single"/>
        <w:insideH w:color="C8D2DF" w:space="0" w:sz="4" w:val="single"/>
        <w:insideV w:color="C8D2DF" w:space="0" w:sz="4" w:val="single"/>
      </w:tblBorders>
      <w:tblCellMar>
        <w:top w:type="dxa" w:w="60"/>
        <w:left w:type="dxa" w:w="90"/>
        <w:bottom w:type="dxa" w:w="60"/>
        <w:right w:type="dxa" w:w="90"/>
      </w:tblCellMar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2026-09-07T06:27:53Z</dcterms:created>
  <dcterms:modified xsi:type="dcterms:W3CDTF">2026-09-07T06:27:53Z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