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0.956 to 1.215.</w:t>
      </w:r>
    </w:p>
    <w:p>
      <w:pPr>
        <w:pStyle w:val="BodyText"/>
      </w:pPr>
      <w:r>
        <w:rPr>
          <w:b/>
          <w:bCs/>
        </w:rPr>
        <w:t xml:space="preserve">Volunteer this, and volunteer it first.</w:t>
      </w:r>
      <w:r>
        <w:t xml:space="preserve"> </w:t>
      </w:r>
      <w:r>
        <w:t xml:space="preserve">These figures replaced an earlier set because the</w:t>
      </w:r>
      <w:r>
        <w:t xml:space="preserve"> </w:t>
      </w:r>
      <w:r>
        <w:t xml:space="preserve">conformal analysis had not deduplicated on the feature vector, which the training code does. The</w:t>
      </w:r>
      <w:r>
        <w:t xml:space="preserve"> </w:t>
      </w:r>
      <w:r>
        <w:t xml:space="preserve">featuriser is stereo-blind, so stereoisomers and salt forms are byte-identical to the model, and the</w:t>
      </w:r>
      <w:r>
        <w:t xml:space="preserve"> </w:t>
      </w:r>
      <w:r>
        <w:t xml:space="preserve">earlier split scored it partly on memorised rows: BBB was reported on a fifth of 7,807 raw rows where</w:t>
      </w:r>
      <w:r>
        <w:t xml:space="preserve"> </w:t>
      </w:r>
      <w:r>
        <w:t xml:space="preserve">the model is fitted on the 3,901 that survive deduplication, a figure Chapter 3 states. Correcting it</w:t>
      </w:r>
      <w:r>
        <w:t xml:space="preserve"> </w:t>
      </w:r>
      <w:r>
        <w:t xml:space="preserve">made the guarantee look worse, not better. Coverage is now at or above target on</w:t>
      </w:r>
      <w:r>
        <w:t xml:space="preserve"> </w:t>
      </w:r>
      <w:r>
        <w:rPr>
          <w:b/>
          <w:bCs/>
        </w:rPr>
        <w:t xml:space="preserve">four of eight</w:t>
      </w:r>
      <w:r>
        <w:t xml:space="preserve">,</w:t>
      </w:r>
      <w:r>
        <w:t xml:space="preserve"> </w:t>
      </w:r>
      <w:r>
        <w:t xml:space="preserve">not six, and the lowest is GSK-3β at 0.876. Say this before you are asked: the duplicates that were</w:t>
      </w:r>
      <w:r>
        <w:t xml:space="preserve"> </w:t>
      </w:r>
      <w:r>
        <w:t xml:space="preserve">removed were the easiest possible test rows.</w:t>
      </w:r>
    </w:p>
    <w:p>
      <w:pPr>
        <w:pStyle w:val="BodyText"/>
      </w:pPr>
      <w:r>
        <w:rPr>
          <w:b/>
          <w:bCs/>
        </w:rPr>
        <w:t xml:space="preserve">Know the set-size algebra, because it is a trap.</w:t>
      </w:r>
      <w:r>
        <w:t xml:space="preserve"> </w:t>
      </w:r>
      <w:r>
        <w:t xml:space="preserve">On two classes the mean is</w:t>
      </w:r>
      <w:r>
        <w:t xml:space="preserve"> </w:t>
      </w:r>
      <w:r>
        <w:t xml:space="preserve">1 + P(ambiguous) - P(empty), so an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An earlier draft</w:t>
      </w:r>
      <w:r>
        <w:t xml:space="preserve"> </w:t>
      </w:r>
      <w:r>
        <w:t xml:space="preserve">read it as</w:t>
      </w:r>
      <w:r>
        <w:t xml:space="preserve"> </w:t>
      </w:r>
      <w:r>
        <w:t xml:space="preserve">“ambiguous or empty”</w:t>
      </w:r>
      <w:r>
        <w:t xml:space="preserve">, which has the sign wrong on one term. BACE1’s mean of</w:t>
      </w:r>
      <w:r>
        <w:t xml:space="preserve"> </w:t>
      </w:r>
      <w:r>
        <w:rPr>
          <w:b/>
          <w:bCs/>
        </w:rPr>
        <w:t xml:space="preserve">0.956</w:t>
      </w:r>
      <w:r>
        <w:t xml:space="preserve"> </w:t>
      </w:r>
      <w:r>
        <w:t xml:space="preserve">is</w:t>
      </w:r>
      <w:r>
        <w:t xml:space="preserve"> </w:t>
      </w:r>
      <w:r>
        <w:t xml:space="preserve">below one, which is only possible when sets are empty: it returns nothing at all for 4.4 per cent of</w:t>
      </w:r>
      <w:r>
        <w:t xml:space="preserve"> </w:t>
      </w:r>
      <w:r>
        <w:t xml:space="preserve">compounds. An empty set is the predictor declining to name a class at 90 per cent confidence, which</w:t>
      </w:r>
      <w:r>
        <w:t xml:space="preserve"> </w:t>
      </w:r>
      <w:r>
        <w:t xml:space="preserve">is the behaviour the method exists to produce, not a bug.</w:t>
      </w:r>
    </w:p>
    <w:p>
      <w:pPr>
        <w:pStyle w:val="BodyText"/>
      </w:pPr>
      <w:r>
        <w:rPr>
          <w:b/>
          <w:bCs/>
        </w:rPr>
        <w:t xml:space="preserve">The number worth quoting is BBB’s.</w:t>
      </w:r>
      <w:r>
        <w:t xml:space="preserve"> </w:t>
      </w:r>
      <w:r>
        <w:t xml:space="preserve">It is ambiguous on 21.5 per cent of compounds on a random</w:t>
      </w:r>
      <w:r>
        <w:t xml:space="preserve"> </w:t>
      </w:r>
      <w:r>
        <w:t xml:space="preserve">split and</w:t>
      </w:r>
      <w:r>
        <w:t xml:space="preserve"> </w:t>
      </w:r>
      <w:r>
        <w:rPr>
          <w:b/>
          <w:bCs/>
        </w:rPr>
        <w:t xml:space="preserve">27.0 per cent under a scaffold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rf_conformal_scaffold.csv</w:t>
      </w:r>
      <w:r>
        <w:t xml:space="preserve">), the regime the</w:t>
      </w:r>
      <w:r>
        <w:t xml:space="preserve"> </w:t>
      </w:r>
      <w:r>
        <w:t xml:space="preserve">server actually runs in. The barrier model multiplies every disease score, so that ambiguity</w:t>
      </w:r>
      <w:r>
        <w:t xml:space="preserve"> </w:t>
      </w:r>
      <w:r>
        <w:t xml:space="preserve">propagates into all sixteen conditions.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0.876 to 0.933</w:t>
            </w:r>
          </w:p>
        </w:tc>
        <w:tc>
          <w:tcPr/>
          <w:p>
            <w:pPr>
              <w:pStyle w:val="Compact"/>
            </w:pPr>
            <w:r>
              <w:t xml:space="preserve">set size 0.956 to 1.215, deduplicated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0.7934</w:t>
            </w:r>
            <w:r>
              <w:t xml:space="preserve"> </w:t>
            </w:r>
            <w:r>
              <w:t xml:space="preserve">on 241 unseen drugs</w:t>
            </w:r>
          </w:p>
        </w:tc>
        <w:tc>
          <w:tcPr/>
          <w:p>
            <w:pPr>
              <w:pStyle w:val="Compact"/>
            </w:pPr>
            <w:r>
              <w:t xml:space="preserve">0.7645 on 306, 0.7102 on the 65 memorised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241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  <w:tc>
          <w:tcPr/>
          <w:p>
            <w:pPr>
              <w:pStyle w:val="Compact"/>
            </w:pPr>
            <w:r>
              <w:t xml:space="preserve">−0.0233, interval −0.0553 to</w:t>
            </w:r>
            <w:r>
              <w:t xml:space="preserve"> </w:t>
            </w:r>
            <w:r>
              <w:rPr>
                <w:b/>
                <w:bCs/>
              </w:rPr>
              <w:t xml:space="preserve">+0.0106</w:t>
            </w:r>
            <w:r>
              <w:t xml:space="preserve">, p = 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</w:pPr>
            <w:r>
              <w:t xml:space="preserve">−0.0514, interval −0.0940 to −0.0101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−0.0494, interval −0.0938 to −0.0047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</w:pPr>
            <w:r>
              <w:t xml:space="preserve">−0.1565, interval −0.2108 to −0.1004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0.7934 on</w:t>
      </w:r>
      <w:r>
        <w:t xml:space="preserve"> </w:t>
      </w:r>
      <w:r>
        <w:t xml:space="preserve">the 241 that are also distinguishable in feature space.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0.7934 on the 241 that are also novel in feature</w:t>
      </w:r>
      <w:r>
        <w:t xml:space="preserve"> </w:t>
      </w:r>
      <w:r>
        <w:t xml:space="preserve">space.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65 compounds that are feature-identical to a training compound</w:t>
      </w:r>
      <w:r>
        <w:t xml:space="preserve"> </w:t>
      </w:r>
      <w:r>
        <w:t xml:space="preserve">score 0.7102 against 0.7934 for the genuinely novel ones.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2026-09-07T06:27:52Z</dcterms:created>
  <dcterms:modified xsi:type="dcterms:W3CDTF">2026-09-07T06:27:52Z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