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0b04477303faa07169cdf6bf7aa345e57bc2ef"/>
    <w:p>
      <w:pPr>
        <w:pStyle w:val="Heading1"/>
      </w:pPr>
      <w:r>
        <w:t xml:space="preserve">Chapter 9. The falsification suite, and what it cost</w:t>
      </w:r>
    </w:p>
    <w:bookmarkStart w:id="9" w:name="the-premise"/>
    <w:p>
      <w:pPr>
        <w:pStyle w:val="Heading2"/>
      </w:pPr>
      <w:r>
        <w:t xml:space="preserve">9.1 The premise</w:t>
      </w:r>
    </w:p>
    <w:p>
      <w:pPr>
        <w:pStyle w:val="FirstParagraph"/>
      </w:pPr>
      <w:r>
        <w:t xml:space="preserve">The suite’s own plan states the problem it was built for, and states it better than a paraphrase</w:t>
      </w:r>
      <w:r>
        <w:t xml:space="preserve"> </w:t>
      </w:r>
      <w:r>
        <w:t xml:space="preserve">would:</w:t>
      </w:r>
    </w:p>
    <w:p>
      <w:pPr>
        <w:pStyle w:val="FirstParagraph"/>
      </w:pPr>
      <w:r>
        <w:t xml:space="preserve">That is the correct diagnosis of what Chapters 3 to 8 leave open. Cross-validation, conformal</w:t>
      </w:r>
      <w:r>
        <w:t xml:space="preserve"> </w:t>
      </w:r>
      <w:r>
        <w:t xml:space="preserve">coverage, applicability banding and the prospective simulation are all measurements of the target</w:t>
      </w:r>
      <w:r>
        <w:t xml:space="preserve"> </w:t>
      </w:r>
      <w:r>
        <w:t xml:space="preserve">models. The disease layer sits on top of them, is assembled from a curated graph and a gating rule,</w:t>
      </w:r>
      <w:r>
        <w:t xml:space="preserve"> </w:t>
      </w:r>
      <w:r>
        <w:t xml:space="preserve">and until August 2026 nothing in the project had tested it against an outcome at all. A system can</w:t>
      </w:r>
      <w:r>
        <w:t xml:space="preserve"> </w:t>
      </w:r>
      <w:r>
        <w:t xml:space="preserve">have well-calibrated components and an output layer that means nothing, and no amount of component</w:t>
      </w:r>
      <w:r>
        <w:t xml:space="preserve"> </w:t>
      </w:r>
      <w:r>
        <w:t xml:space="preserve">validation will detect that.</w:t>
      </w:r>
    </w:p>
    <w:p>
      <w:pPr>
        <w:pStyle w:val="BodyText"/>
      </w:pPr>
      <w:r>
        <w:t xml:space="preserve">The suite is therefore not more validation. It is an attempt to make the central claims fail, run by</w:t>
      </w:r>
      <w:r>
        <w:t xml:space="preserve"> </w:t>
      </w:r>
      <w:r>
        <w:t xml:space="preserve">the same person who wrote them, which is a weaker instrument than independent replication but a much</w:t>
      </w:r>
      <w:r>
        <w:t xml:space="preserve"> </w:t>
      </w:r>
      <w:r>
        <w:t xml:space="preserve">stronger one than another favourable measurement.</w:t>
      </w:r>
    </w:p>
    <w:bookmarkEnd w:id="9"/>
    <w:bookmarkStart w:id="10" w:name="what-makes-a-test-capable-of-failing"/>
    <w:p>
      <w:pPr>
        <w:pStyle w:val="Heading2"/>
      </w:pPr>
      <w:r>
        <w:t xml:space="preserve">9.2 What makes a test capable of failing</w:t>
      </w:r>
    </w:p>
    <w:p>
      <w:pPr>
        <w:pStyle w:val="FirstParagraph"/>
      </w:pPr>
      <w:r>
        <w:t xml:space="preserve">Four constraints separate this exercise from the rest of the evidence, and they are worth stating</w:t>
      </w:r>
      <w:r>
        <w:t xml:space="preserve"> </w:t>
      </w:r>
      <w:r>
        <w:t xml:space="preserve">because they are the reason its results are usable.</w:t>
      </w:r>
    </w:p>
    <w:p>
      <w:pPr>
        <w:pStyle w:val="BodyText"/>
      </w:pPr>
      <w:r>
        <w:rPr>
          <w:b/>
          <w:bCs/>
        </w:rPr>
        <w:t xml:space="preserve">Every hypothesis is paired with a null that could produce the same apparent success by accident.</w:t>
      </w:r>
      <w:r>
        <w:t xml:space="preserve"> </w:t>
      </w:r>
      <w:r>
        <w:t xml:space="preserve">This is the constraint that does the work. A disease layer that recovers the right condition 79 per</w:t>
      </w:r>
      <w:r>
        <w:t xml:space="preserve"> </w:t>
      </w:r>
      <w:r>
        <w:t xml:space="preserve">cent of the time sounds decisive until one asks what always naming the three commonest conditions</w:t>
      </w:r>
      <w:r>
        <w:t xml:space="preserve"> </w:t>
      </w:r>
      <w:r>
        <w:t xml:space="preserve">would score, and the answer is 0.5508 (</w:t>
      </w:r>
      <w:r>
        <w:rPr>
          <w:rStyle w:val="VerbatimChar"/>
        </w:rPr>
        <w:t xml:space="preserve">inversion/results/H1_disease_layer.csv</w:t>
      </w:r>
      <w:r>
        <w:t xml:space="preserve">). Most of the suite’s</w:t>
      </w:r>
      <w:r>
        <w:t xml:space="preserve"> </w:t>
      </w:r>
      <w:r>
        <w:t xml:space="preserve">value comes from having asked that question before seeing the result rather than after.</w:t>
      </w:r>
    </w:p>
    <w:p>
      <w:pPr>
        <w:pStyle w:val="BodyText"/>
      </w:pPr>
      <w:r>
        <w:rPr>
          <w:b/>
          <w:bCs/>
        </w:rPr>
        <w:t xml:space="preserve">The analysis is read-only.</w:t>
      </w:r>
      <w:r>
        <w:t xml:space="preserve"> </w:t>
      </w:r>
      <w:r>
        <w:t xml:space="preserve">No trained model, no curated dataset and no threshold was changed in</w:t>
      </w:r>
      <w:r>
        <w:t xml:space="preserve"> </w:t>
      </w:r>
      <w:r>
        <w:t xml:space="preserve">order to obtain any number in it. Acting on a finding is a separate step recorded in the git history,</w:t>
      </w:r>
      <w:r>
        <w:t xml:space="preserve"> </w:t>
      </w:r>
      <w:r>
        <w:t xml:space="preserve">so a wording change made in response to a result cannot be mistaken for part of the evidence for it.</w:t>
      </w:r>
    </w:p>
    <w:p>
      <w:pPr>
        <w:pStyle w:val="BodyText"/>
      </w:pPr>
      <w:r>
        <w:rPr>
          <w:b/>
          <w:bCs/>
        </w:rPr>
        <w:t xml:space="preserve">Results are written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inversion/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results/</w:t>
      </w:r>
      <w:r>
        <w:rPr>
          <w:b/>
          <w:bCs/>
        </w:rPr>
        <w:t xml:space="preserve">.</w:t>
      </w:r>
      <w:r>
        <w:t xml:space="preserve"> </w:t>
      </w:r>
      <w:r>
        <w:t xml:space="preserve">A falsification cannot be filed where a</w:t>
      </w:r>
      <w:r>
        <w:t xml:space="preserve"> </w:t>
      </w:r>
      <w:r>
        <w:t xml:space="preserve">validation would be found and quoted as one.</w:t>
      </w:r>
    </w:p>
    <w:p>
      <w:pPr>
        <w:pStyle w:val="BodyText"/>
      </w:pPr>
      <w:r>
        <w:rPr>
          <w:b/>
          <w:bCs/>
        </w:rPr>
        <w:t xml:space="preserve">Where predictive power is at issue, scoring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models_rf/holdout/</w:t>
      </w:r>
      <w:r>
        <w:t xml:space="preserve">, the scaffold-hold-out</w:t>
      </w:r>
      <w:r>
        <w:t xml:space="preserve"> </w:t>
      </w:r>
      <w:r>
        <w:t xml:space="preserve">twins, which never saw the compounds they score.</w:t>
      </w:r>
    </w:p>
    <w:p>
      <w:pPr>
        <w:pStyle w:val="BodyText"/>
      </w:pPr>
      <w:r>
        <w:t xml:space="preserve">The reporting rule is stated in the plan as well: a refuted hypothesis is the most valuable outcome</w:t>
      </w:r>
      <w:r>
        <w:t xml:space="preserve"> </w:t>
      </w:r>
      <w:r>
        <w:t xml:space="preserve">available, and is to be reported as prominently as a confirmation. Section 9.4 is the test of whether</w:t>
      </w:r>
      <w:r>
        <w:t xml:space="preserve"> </w:t>
      </w:r>
      <w:r>
        <w:t xml:space="preserve">that was honoured, and it largely was.</w:t>
      </w:r>
    </w:p>
    <w:bookmarkEnd w:id="10"/>
    <w:bookmarkStart w:id="11" w:name="the-nine-hypotheses"/>
    <w:p>
      <w:pPr>
        <w:pStyle w:val="Heading2"/>
      </w:pPr>
      <w:r>
        <w:t xml:space="preserve">9.3 The nine hypotheses</w:t>
      </w:r>
    </w:p>
    <w:p>
      <w:pPr>
        <w:pStyle w:val="FirstParagraph"/>
      </w:pPr>
      <w:r>
        <w:t xml:space="preserve">Four hypotheses were refuted, four supported and one weakened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inversion/results/VERDICTS.csv</w:t>
      </w:r>
      <w:r>
        <w:t xml:space="preserve">). The graph under test is fingerprinted, at SHA-256</w:t>
      </w:r>
      <w:r>
        <w:t xml:space="preserve"> </w:t>
      </w:r>
      <w:r>
        <w:rPr>
          <w:rStyle w:val="VerbatimChar"/>
        </w:rPr>
        <w:t xml:space="preserve">25cae8c8...</w:t>
      </w:r>
      <w:r>
        <w:t xml:space="preserve"> </w:t>
      </w:r>
      <w:r>
        <w:t xml:space="preserve">over 16 conditions and 51 targets (</w:t>
      </w:r>
      <w:r>
        <w:rPr>
          <w:rStyle w:val="VerbatimChar"/>
        </w:rPr>
        <w:t xml:space="preserve">inversion/results/GRAPH_FINGERPRINT.json</w:t>
      </w:r>
      <w:r>
        <w:t xml:space="preserve">), so a verdict cannot</w:t>
      </w:r>
      <w:r>
        <w:t xml:space="preserve"> </w:t>
      </w:r>
      <w:r>
        <w:t xml:space="preserve">silently come to describe a different graph.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Argued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The disease score is informative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The curated edge weights add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BBB gating discriminates between diseases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 by construction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Specificity transfers to novel chemistry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Read-across beats a frequency baseline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The disease scores match real clinical indications</w:t>
            </w:r>
          </w:p>
        </w:tc>
        <w:tc>
          <w:tcPr/>
          <w:p>
            <w:pPr>
              <w:pStyle w:val="Compact"/>
            </w:pPr>
            <w:r>
              <w:t xml:space="preserve">WEAKENED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H7</w:t>
            </w:r>
          </w:p>
        </w:tc>
        <w:tc>
          <w:tcPr/>
          <w:p>
            <w:pPr>
              <w:pStyle w:val="Compact"/>
            </w:pPr>
            <w:r>
              <w:t xml:space="preserve">Some panel targets are non-discriminative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</w:t>
            </w:r>
          </w:p>
        </w:tc>
        <w:tc>
          <w:tcPr/>
          <w:p>
            <w:pPr>
              <w:pStyle w:val="Compact"/>
            </w:pPr>
            <w:r>
              <w:t xml:space="preserve">Engaged targets are independent observations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7.4, 7.8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H9</w:t>
            </w:r>
          </w:p>
        </w:tc>
        <w:tc>
          <w:tcPr/>
          <w:p>
            <w:pPr>
              <w:pStyle w:val="Compact"/>
            </w:pPr>
            <w:r>
              <w:t xml:space="preserve">The disease layer discriminates between compounds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</w:tr>
    </w:tbl>
    <w:p>
      <w:pPr>
        <w:pStyle w:val="BodyText"/>
      </w:pPr>
      <w:r>
        <w:t xml:space="preserve">Seven of the nine are argued in full elsewhere in this thesis and are not re-derived here. This</w:t>
      </w:r>
      <w:r>
        <w:t xml:space="preserve"> </w:t>
      </w:r>
      <w:r>
        <w:t xml:space="preserve">chapter takes the four questions the individual hypotheses cannot answer: what the refutations cost,</w:t>
      </w:r>
      <w:r>
        <w:t xml:space="preserve"> </w:t>
      </w:r>
      <w:r>
        <w:t xml:space="preserve">what the suite found that nothing else did, whether its two untreated hypotheses are as strong as</w:t>
      </w:r>
      <w:r>
        <w:t xml:space="preserve"> </w:t>
      </w:r>
      <w:r>
        <w:t xml:space="preserve">their verdicts read, and what the suite does not cover.</w:t>
      </w:r>
    </w:p>
    <w:bookmarkEnd w:id="11"/>
    <w:bookmarkStart w:id="12" w:name="what-the-refutations-cost"/>
    <w:p>
      <w:pPr>
        <w:pStyle w:val="Heading2"/>
      </w:pPr>
      <w:r>
        <w:t xml:space="preserve">9.4 What the refutations cost</w:t>
      </w:r>
    </w:p>
    <w:p>
      <w:pPr>
        <w:pStyle w:val="FirstParagraph"/>
      </w:pPr>
      <w:r>
        <w:t xml:space="preserve">A falsification suite is worth what the project paid for it. On this test the record is good, and the</w:t>
      </w:r>
      <w:r>
        <w:t xml:space="preserve"> </w:t>
      </w:r>
      <w:r>
        <w:t xml:space="preserve">payments are traceable in the git history rather than asserted.</w:t>
      </w:r>
    </w:p>
    <w:p>
      <w:pPr>
        <w:pStyle w:val="BodyText"/>
      </w:pPr>
      <w:r>
        <w:rPr>
          <w:b/>
          <w:bCs/>
        </w:rPr>
        <w:t xml:space="preserve">H2 changed how the knowledge graph is described.</w:t>
      </w:r>
      <w:r>
        <w:t xml:space="preserve"> </w:t>
      </w:r>
      <w:r>
        <w:t xml:space="preserve">The curated edge weights score 0.7901 against</w:t>
      </w:r>
      <w:r>
        <w:t xml:space="preserve"> </w:t>
      </w:r>
      <w:r>
        <w:t xml:space="preserve">0.7897 for uniform weights and 0.7874 for randomly permuted ones, a spread of 0.0027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inversion/results/H2_weight_ablation.csv</w:t>
      </w:r>
      <w:r>
        <w:t xml:space="preserve">). Commit</w:t>
      </w:r>
      <w:r>
        <w:t xml:space="preserve"> </w:t>
      </w:r>
      <w:r>
        <w:rPr>
          <w:rStyle w:val="VerbatimChar"/>
        </w:rPr>
        <w:t xml:space="preserve">f40b5d7</w:t>
      </w:r>
      <w:r>
        <w:t xml:space="preserve">,</w:t>
      </w:r>
      <w:r>
        <w:t xml:space="preserve"> </w:t>
      </w:r>
      <w:r>
        <w:t xml:space="preserve">“Act on the inversion findings:</w:t>
      </w:r>
      <w:r>
        <w:t xml:space="preserve"> </w:t>
      </w:r>
      <w:r>
        <w:t xml:space="preserve">describe the weights and the BBB term accurately”</w:t>
      </w:r>
      <w:r>
        <w:t xml:space="preserve">, relabelled them in the source, the interface and</w:t>
      </w:r>
      <w:r>
        <w:t xml:space="preserve"> </w:t>
      </w:r>
      <w:r>
        <w:t xml:space="preserve">the manuscript as a mechanistic prior rather than as tuned parameters. The weights were kept, which is</w:t>
      </w:r>
      <w:r>
        <w:t xml:space="preserve"> </w:t>
      </w:r>
      <w:r>
        <w:t xml:space="preserve">defensible because they still express which link is the more direct, but no predictive claim is made</w:t>
      </w:r>
      <w:r>
        <w:t xml:space="preserve"> </w:t>
      </w:r>
      <w:r>
        <w:t xml:space="preserve">for them.</w:t>
      </w:r>
    </w:p>
    <w:p>
      <w:pPr>
        <w:pStyle w:val="BodyText"/>
      </w:pPr>
      <w:r>
        <w:rPr>
          <w:b/>
          <w:bCs/>
        </w:rPr>
        <w:t xml:space="preserve">H3 turned a design claim into a filter claim.</w:t>
      </w:r>
      <w:r>
        <w:t xml:space="preserve"> </w:t>
      </w:r>
      <w:r>
        <w:t xml:space="preserve">Because the gate multiplies the 14 non-peripheral</w:t>
      </w:r>
      <w:r>
        <w:t xml:space="preserve"> </w:t>
      </w:r>
      <w:r>
        <w:t xml:space="preserve">conditions by the same factor it is rank-invariant among them and cannot sharpen a disease call. The</w:t>
      </w:r>
      <w:r>
        <w:t xml:space="preserve"> </w:t>
      </w:r>
      <w:r>
        <w:t xml:space="preserve">same commit corrected the wording wherever it appeared.</w:t>
      </w:r>
    </w:p>
    <w:p>
      <w:pPr>
        <w:pStyle w:val="BodyText"/>
      </w:pPr>
      <w:r>
        <w:rPr>
          <w:b/>
          <w:bCs/>
        </w:rPr>
        <w:t xml:space="preserve">H7 cost an endpoint and a disclosure.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8bb402b</w:t>
      </w:r>
      <w:r>
        <w:t xml:space="preserve">,</w:t>
      </w:r>
      <w:r>
        <w:t xml:space="preserve"> </w:t>
      </w:r>
      <w:r>
        <w:t xml:space="preserve">“Expand the panel where it was measured</w:t>
      </w:r>
      <w:r>
        <w:t xml:space="preserve"> </w:t>
      </w:r>
      <w:r>
        <w:t xml:space="preserve">to be weakest, and withdraw an endpoint that was firing on sugar”</w:t>
      </w:r>
      <w:r>
        <w:t xml:space="preserve">, followed from the H7 line of</w:t>
      </w:r>
      <w:r>
        <w:t xml:space="preserve"> </w:t>
      </w:r>
      <w:r>
        <w:t xml:space="preserve">enquiry. A direct audit of the served models,</w:t>
      </w:r>
      <w:r>
        <w:t xml:space="preserve"> </w:t>
      </w:r>
      <w:r>
        <w:rPr>
          <w:rStyle w:val="VerbatimChar"/>
        </w:rPr>
        <w:t xml:space="preserve">results/deployed_specificity_audit.csv</w:t>
      </w:r>
      <w:r>
        <w:t xml:space="preserve">, then found</w:t>
      </w:r>
      <w:r>
        <w:t xml:space="preserve"> </w:t>
      </w:r>
      <w:r>
        <w:t xml:space="preserve">four failures, three of them by firing on molecules that are not drugs at all: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FPR on random chemistry</w:t>
            </w:r>
          </w:p>
        </w:tc>
        <w:tc>
          <w:tcPr/>
          <w:p>
            <w:pPr>
              <w:pStyle w:val="Compact"/>
            </w:pPr>
            <w:r>
              <w:t xml:space="preserve">Trivial molecules called binders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0.0800</w:t>
            </w:r>
          </w:p>
        </w:tc>
        <w:tc>
          <w:tcPr/>
          <w:p>
            <w:pPr>
              <w:pStyle w:val="Compact"/>
            </w:pPr>
            <w:r>
              <w:t xml:space="preserve">glucose, urea, glycine, lactate, atenolol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0.0717</w:t>
            </w:r>
          </w:p>
        </w:tc>
        <w:tc>
          <w:tcPr/>
          <w:p>
            <w:pPr>
              <w:pStyle w:val="Compact"/>
            </w:pPr>
            <w:r>
              <w:t xml:space="preserve">glucose, atenolol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0.0567</w:t>
            </w:r>
          </w:p>
        </w:tc>
        <w:tc>
          <w:tcPr/>
          <w:p>
            <w:pPr>
              <w:pStyle w:val="Compact"/>
            </w:pPr>
            <w:r>
              <w:t xml:space="preserve">none, but above the 5 per cent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NF-kappa-B1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0.0267</w:t>
            </w:r>
          </w:p>
        </w:tc>
        <w:tc>
          <w:tcPr/>
          <w:p>
            <w:pPr>
              <w:pStyle w:val="Compact"/>
            </w:pPr>
            <w:r>
              <w:t xml:space="preserve">glucose, urea, acetate, glycine, lactate</w:t>
            </w:r>
          </w:p>
        </w:tc>
      </w:tr>
    </w:tbl>
    <w:p>
      <w:pPr>
        <w:pStyle w:val="BodyText"/>
      </w:pPr>
      <w:r>
        <w:t xml:space="preserve">All four were withdrawn, together with NR3C1, which passed this audit and was withdrawn on other</w:t>
      </w:r>
      <w:r>
        <w:t xml:space="preserve"> </w:t>
      </w:r>
      <w:r>
        <w:t xml:space="preserve">grounds. The panel stands at 52 endpoints with 47 deployed.</w:t>
      </w:r>
    </w:p>
    <w:p>
      <w:pPr>
        <w:pStyle w:val="BodyText"/>
      </w:pPr>
      <w:r>
        <w:rPr>
          <w:b/>
          <w:bCs/>
        </w:rPr>
        <w:t xml:space="preserve">H8 changed the interface.</w:t>
      </w:r>
      <w:r>
        <w:t xml:space="preserve"> </w:t>
      </w:r>
      <w:r>
        <w:t xml:space="preserve">Across 400 approved drugs, 37 targets fire at least once but span only</w:t>
      </w:r>
      <w:r>
        <w:t xml:space="preserve"> </w:t>
      </w:r>
      <w:r>
        <w:t xml:space="preserve">16 independent directions by Kaiser’s rule on the correlation matrix of the firing indicators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inversion/results/H8_panel_independence.csv</w:t>
      </w:r>
      <w:r>
        <w:t xml:space="preserve">), and five homologous pairs co-fire above phi = 0.5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inversion/results/H8_family_correlation.csv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P(second engaged given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mu-opioid and kappa-opioid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SERT and 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and 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5-HT2A and 5-HT7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5-HT1A and 5-HT7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</w:t>
            </w:r>
          </w:p>
        </w:tc>
      </w:tr>
    </w:tbl>
    <w:p>
      <w:pPr>
        <w:pStyle w:val="BodyText"/>
      </w:pPr>
      <w:r>
        <w:t xml:space="preserve">The interface now groups engaged targets by homology family and quotes the measured correlation</w:t>
      </w:r>
      <w:r>
        <w:t xml:space="preserve"> </w:t>
      </w:r>
      <w:r>
        <w:t xml:space="preserve">rather than leaving a reader to assume independence. Section 9.8 reports that the numbers it quotes</w:t>
      </w:r>
      <w:r>
        <w:t xml:space="preserve"> </w:t>
      </w:r>
      <w:r>
        <w:t xml:space="preserve">are no longer the ones in the artefact.</w:t>
      </w:r>
    </w:p>
    <w:p>
      <w:pPr>
        <w:pStyle w:val="BodyText"/>
      </w:pPr>
      <w:r>
        <w:rPr>
          <w:b/>
          <w:bCs/>
        </w:rPr>
        <w:t xml:space="preserve">Two costs were paid on the suite itself rather than on the tool</w:t>
      </w:r>
      <w:r>
        <w:t xml:space="preserve">, and they matter more than they</w:t>
      </w:r>
      <w:r>
        <w:t xml:space="preserve"> </w:t>
      </w:r>
      <w:r>
        <w:t xml:space="preserve">look. Commit</w:t>
      </w:r>
      <w:r>
        <w:t xml:space="preserve"> </w:t>
      </w:r>
      <w:r>
        <w:rPr>
          <w:rStyle w:val="VerbatimChar"/>
        </w:rPr>
        <w:t xml:space="preserve">7fa7203</w:t>
      </w:r>
      <w:r>
        <w:t xml:space="preserve">,</w:t>
      </w:r>
      <w:r>
        <w:t xml:space="preserve"> </w:t>
      </w:r>
      <w:r>
        <w:t xml:space="preserve">“Make the inversion checks capable of failing, and let one of them fail”</w:t>
      </w:r>
      <w:r>
        <w:t xml:space="preserve">,</w:t>
      </w:r>
      <w:r>
        <w:t xml:space="preserve"> </w:t>
      </w:r>
      <w:r>
        <w:t xml:space="preserve">repaired checks that could not have returned a negative result. Commits</w:t>
      </w:r>
      <w:r>
        <w:t xml:space="preserve"> </w:t>
      </w:r>
      <w:r>
        <w:rPr>
          <w:rStyle w:val="VerbatimChar"/>
        </w:rPr>
        <w:t xml:space="preserve">da82d80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a3d184f</w:t>
      </w:r>
      <w:r>
        <w:t xml:space="preserve"> </w:t>
      </w:r>
      <w:r>
        <w:t xml:space="preserve">restricted H1 to compounds that are training actives of no other panel target, because a compound</w:t>
      </w:r>
      <w:r>
        <w:t xml:space="preserve"> </w:t>
      </w:r>
      <w:r>
        <w:t xml:space="preserve">active at two targets is memorised by one of the models scoring it, and shuffling the</w:t>
      </w:r>
      <w:r>
        <w:t xml:space="preserve"> </w:t>
      </w:r>
      <w:r>
        <w:t xml:space="preserve">target-to-disease map does not control for that: the memorisation survives the shuffle and is merely</w:t>
      </w:r>
      <w:r>
        <w:t xml:space="preserve"> </w:t>
      </w:r>
      <w:r>
        <w:t xml:space="preserve">sent to the wrong condition. That correction removed roughly three fifths of the evaluation set, from</w:t>
      </w:r>
      <w:r>
        <w:t xml:space="preserve"> </w:t>
      </w:r>
      <w:r>
        <w:t xml:space="preserve">16,690 held-out entries across 41 endpoints (</w:t>
      </w:r>
      <w:r>
        <w:rPr>
          <w:rStyle w:val="VerbatimChar"/>
        </w:rPr>
        <w:t xml:space="preserve">models_rf/holdout/heldout_actives.json</w:t>
      </w:r>
      <w:r>
        <w:t xml:space="preserve">) down to the</w:t>
      </w:r>
      <w:r>
        <w:t xml:space="preserve"> </w:t>
      </w:r>
      <w:r>
        <w:t xml:space="preserve">7,008 H1 now scores, and it lowered the headline. A suite that tightens its own null after the null</w:t>
      </w:r>
      <w:r>
        <w:t xml:space="preserve"> </w:t>
      </w:r>
      <w:r>
        <w:t xml:space="preserve">has already been passed is behaving correctly.</w:t>
      </w:r>
    </w:p>
    <w:bookmarkEnd w:id="12"/>
    <w:bookmarkStart w:id="13" w:name="Xe40a5e4504d0450ab3378e1b34ab295d7898714"/>
    <w:p>
      <w:pPr>
        <w:pStyle w:val="Heading2"/>
      </w:pPr>
      <w:r>
        <w:t xml:space="preserve">9.5 The result the suite bought: H7 found a defect nobody was looking for</w:t>
      </w:r>
    </w:p>
    <w:p>
      <w:pPr>
        <w:pStyle w:val="FirstParagraph"/>
      </w:pPr>
      <w:r>
        <w:t xml:space="preserve">The strongest argument for the whole exercise is not any of the nine verdicts. It is that H7, asking</w:t>
      </w:r>
      <w:r>
        <w:t xml:space="preserve"> </w:t>
      </w:r>
      <w:r>
        <w:t xml:space="preserve">an unrelated question, measured the quantity Chapter 5 would later find had been published wrongly</w:t>
      </w:r>
      <w:r>
        <w:t xml:space="preserve"> </w:t>
      </w:r>
      <w:r>
        <w:t xml:space="preserve">for months.</w:t>
      </w:r>
    </w:p>
    <w:p>
      <w:pPr>
        <w:pStyle w:val="BodyText"/>
      </w:pPr>
      <w:r>
        <w:t xml:space="preserve">H6 had left 47 of 58 approved antiepileptics scoring exactly zero. H7 asked whether the responsible</w:t>
      </w:r>
      <w:r>
        <w:t xml:space="preserve"> </w:t>
      </w:r>
      <w:r>
        <w:t xml:space="preserve">models could rank at all, scoring each target’s held-out actives against 600 random PubChem</w:t>
      </w:r>
      <w:r>
        <w:t xml:space="preserve"> </w:t>
      </w:r>
      <w:r>
        <w:t xml:space="preserve">structures using hold-out models. The answer is that they can. Across 37 testable targets the AUROC</w:t>
      </w:r>
      <w:r>
        <w:t xml:space="preserve"> </w:t>
      </w:r>
      <w:r>
        <w:t xml:space="preserve">runs from 0.9174 at NLRP3 to 0.9996 at HDAC1, median 0.9888, mean 0.9847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inversion/results/H7_target_discrimination.csv</w:t>
      </w:r>
      <w:r>
        <w:t xml:space="preserve">). Not one falls near chance, so the</w:t>
      </w:r>
      <w:r>
        <w:t xml:space="preserve"> </w:t>
      </w:r>
      <w:r>
        <w:t xml:space="preserve">non-discriminative-model explanation is refuted.</w:t>
      </w:r>
    </w:p>
    <w:p>
      <w:pPr>
        <w:pStyle w:val="BodyText"/>
      </w:pPr>
      <w:r>
        <w:t xml:space="preserve">What the same table records incidentally is deployed sensitivity, and it runs from 0.000 at P2X7 to</w:t>
      </w:r>
      <w:r>
        <w:t xml:space="preserve"> </w:t>
      </w:r>
      <w:r>
        <w:t xml:space="preserve">0.990 at mTOR, median 0.7922, mean 0.7331. Six targets fire for fewer than half their own held-out</w:t>
      </w:r>
      <w:r>
        <w:t xml:space="preserve"> </w:t>
      </w:r>
      <w:r>
        <w:t xml:space="preserve">actives: COX-2, GABA-A, KEAP1, P2X7, SIRT1 and TAAR1.</w:t>
      </w:r>
    </w:p>
    <w:p>
      <w:pPr>
        <w:pStyle w:val="BodyText"/>
      </w:pPr>
      <w:r>
        <w:t xml:space="preserve">The panel registry at that time reported a mean sensitivity of 0.8983 with no deployed endpoint below</w:t>
      </w:r>
      <w:r>
        <w:t xml:space="preserve"> </w:t>
      </w:r>
      <w:r>
        <w:t xml:space="preserve">0.50, under a basis field reading</w:t>
      </w:r>
      <w:r>
        <w:t xml:space="preserve"> </w:t>
      </w:r>
      <w:r>
        <w:rPr>
          <w:rStyle w:val="VerbatimChar"/>
        </w:rPr>
        <w:t xml:space="preserve">held_out_actives_by_scaffold</w:t>
      </w:r>
      <w:r>
        <w:t xml:space="preserve">. Chapter 5 traced that to a</w:t>
      </w:r>
      <w:r>
        <w:t xml:space="preserve"> </w:t>
      </w:r>
      <w:r>
        <w:t xml:space="preserve">sequencing defect and established the held-out mean as 0.7638 with six endpoints below 0.50, five of</w:t>
      </w:r>
      <w:r>
        <w:t xml:space="preserve"> </w:t>
      </w:r>
      <w:r>
        <w:t xml:space="preserve">them the same six H7 names.</w:t>
      </w:r>
    </w:p>
    <w:p>
      <w:pPr>
        <w:pStyle w:val="BodyText"/>
      </w:pPr>
      <w:r>
        <w:rPr>
          <w:b/>
          <w:bCs/>
        </w:rPr>
        <w:t xml:space="preserve">H7 and the Chapter 5 audit share no construction.</w:t>
      </w:r>
      <w:r>
        <w:t xml:space="preserve"> </w:t>
      </w:r>
      <w:r>
        <w:t xml:space="preserve">H7 applies the deployed threshold to hold-out</w:t>
      </w:r>
      <w:r>
        <w:t xml:space="preserve"> </w:t>
      </w:r>
      <w:r>
        <w:t xml:space="preserve">models scored against random PubChem chemistry; the audit compares two scripts’ active-selection</w:t>
      </w:r>
      <w:r>
        <w:t xml:space="preserve"> </w:t>
      </w:r>
      <w:r>
        <w:t xml:space="preserve">rules against the endpoint tables. They landed 0.031 apart on the panel mean, and the number they</w:t>
      </w:r>
      <w:r>
        <w:t xml:space="preserve"> </w:t>
      </w:r>
      <w:r>
        <w:t xml:space="preserve">agreed on was not the published one. The suite designed to embarrass the tool had recorded the</w:t>
      </w:r>
      <w:r>
        <w:t xml:space="preserve"> </w:t>
      </w:r>
      <w:r>
        <w:t xml:space="preserve">correct figure in a committed artefact for three weeks before anybody read it as a contradiction.</w:t>
      </w:r>
    </w:p>
    <w:p>
      <w:pPr>
        <w:pStyle w:val="BodyText"/>
      </w:pPr>
      <w:r>
        <w:t xml:space="preserve">The lesson is about reading rather than about measurement. The evidence was present, in a committed</w:t>
      </w:r>
      <w:r>
        <w:t xml:space="preserve"> </w:t>
      </w:r>
      <w:r>
        <w:t xml:space="preserve">file, in a report the project had written itself. Nothing compared it against the registry, because</w:t>
      </w:r>
      <w:r>
        <w:t xml:space="preserve"> </w:t>
      </w:r>
      <w:r>
        <w:t xml:space="preserve">nothing had been built to.</w:t>
      </w:r>
    </w:p>
    <w:bookmarkEnd w:id="13"/>
    <w:bookmarkStart w:id="16" w:name="X58fa1a2097ca4cd96e1f73abb16f26f8a4ac603"/>
    <w:p>
      <w:pPr>
        <w:pStyle w:val="Heading2"/>
      </w:pPr>
      <w:r>
        <w:t xml:space="preserve">9.6 The two hypotheses no other chapter treats</w:t>
      </w:r>
    </w:p>
    <w:p>
      <w:pPr>
        <w:pStyle w:val="FirstParagraph"/>
      </w:pPr>
      <w:r>
        <w:t xml:space="preserve">H4 and H5 are the suite’s two untreated supported verdicts, and both are weaker than they read.</w:t>
      </w:r>
    </w:p>
    <w:bookmarkStart w:id="14" w:name="X4781cfbac15ece40842ed1afd51062120e4e9a4"/>
    <w:p>
      <w:pPr>
        <w:pStyle w:val="Heading3"/>
      </w:pPr>
      <w:r>
        <w:t xml:space="preserve">H4: specificity outside the training neighbourhood</w:t>
      </w:r>
    </w:p>
    <w:p>
      <w:pPr>
        <w:pStyle w:val="FirstParagraph"/>
      </w:pPr>
      <w:r>
        <w:t xml:space="preserve">The null is precise. The measured specificity was an artefact of drawing negatives from the same</w:t>
      </w:r>
      <w:r>
        <w:t xml:space="preserve"> </w:t>
      </w:r>
      <w:r>
        <w:t xml:space="preserve">library the models were trained on, where every compound is in domain. The test scores 600 structures</w:t>
      </w:r>
      <w:r>
        <w:t xml:space="preserve"> </w:t>
      </w:r>
      <w:r>
        <w:t xml:space="preserve">drawn by random PubChem identifier, independent of every set used to build the tool, and stratifies</w:t>
      </w:r>
      <w:r>
        <w:t xml:space="preserve"> </w:t>
      </w:r>
      <w:r>
        <w:t xml:space="preserve">them by maximum Tanimoto to training chemistry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inversion/results/H4_distant_specificity.csv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3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False-positive rate</w:t>
            </w:r>
          </w:p>
        </w:tc>
        <w:tc>
          <w:tcPr/>
          <w:p>
            <w:pPr>
              <w:pStyle w:val="Compac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max Tanimoto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domain, T &gt;= 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0.1200</w:t>
            </w:r>
          </w:p>
        </w:tc>
        <w:tc>
          <w:tcPr/>
          <w:p>
            <w:pPr>
              <w:pStyle w:val="Compact"/>
            </w:pPr>
            <w:r>
              <w:t xml:space="preserve">0.0644 to 0.2126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 domain, 0.30 to 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0.0711</w:t>
            </w:r>
          </w:p>
        </w:tc>
        <w:tc>
          <w:tcPr/>
          <w:p>
            <w:pPr>
              <w:pStyle w:val="Compact"/>
            </w:pPr>
            <w:r>
              <w:t xml:space="preserve">0.0511 to 0.0982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Distant, T &lt;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0.0164</w:t>
            </w:r>
          </w:p>
        </w:tc>
        <w:tc>
          <w:tcPr/>
          <w:p>
            <w:pPr>
              <w:pStyle w:val="Compact"/>
            </w:pPr>
            <w:r>
              <w:t xml:space="preserve">0.0029 to 0.0872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0.0717</w:t>
            </w:r>
          </w:p>
        </w:tc>
        <w:tc>
          <w:tcPr/>
          <w:p>
            <w:pPr>
              <w:pStyle w:val="Compact"/>
            </w:pPr>
            <w:r>
              <w:t xml:space="preserve">0.0536 to 0.0951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</w:t>
            </w:r>
          </w:p>
        </w:tc>
      </w:tr>
    </w:tbl>
    <w:p>
      <w:pPr>
        <w:pStyle w:val="BodyText"/>
      </w:pPr>
      <w:r>
        <w:t xml:space="preserve">The comparator is the library-chemistry rate of 0.0750, 75 of 1,000, interval 0.0603 to 0.0930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results/tables/noncns_specificity_summary.csv</w:t>
      </w:r>
      <w:r>
        <w:t xml:space="preserve">). It is read from that artefact at run time rather</w:t>
      </w:r>
      <w:r>
        <w:t xml:space="preserve"> </w:t>
      </w:r>
      <w:r>
        <w:t xml:space="preserve">than written into the script as a literal, so it cannot go stale, and that is good practice worth</w:t>
      </w:r>
      <w:r>
        <w:t xml:space="preserve"> </w:t>
      </w:r>
      <w:r>
        <w:t xml:space="preserve">noting.</w:t>
      </w:r>
    </w:p>
    <w:p>
      <w:pPr>
        <w:pStyle w:val="BodyText"/>
      </w:pPr>
      <w:r>
        <w:t xml:space="preserve">The point estimate is a fourfold improvement on the comparator and the ordering is monotone in</w:t>
      </w:r>
      <w:r>
        <w:t xml:space="preserve"> </w:t>
      </w:r>
      <w:r>
        <w:t xml:space="preserve">distance.</w:t>
      </w:r>
      <w:r>
        <w:t xml:space="preserve"> </w:t>
      </w:r>
      <w:r>
        <w:rPr>
          <w:b/>
          <w:bCs/>
        </w:rPr>
        <w:t xml:space="preserve">But the verdict rests on a rule that ignores its own interval.</w:t>
      </w:r>
      <w:r>
        <w:t xml:space="preserve"> </w:t>
      </w:r>
      <w:r>
        <w:t xml:space="preserve">The script decides</w:t>
      </w:r>
      <w:r>
        <w:t xml:space="preserve"> </w:t>
      </w:r>
      <w:r>
        <w:rPr>
          <w:rStyle w:val="VerbatimChar"/>
        </w:rPr>
        <w:t xml:space="preserve">SUPPORTED if f &lt;= ref_fpr * 1.5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inversion/inv_distant_specificity.py:162</w:t>
      </w:r>
      <w:r>
        <w:t xml:space="preserve">), comparing two point</w:t>
      </w:r>
      <w:r>
        <w:t xml:space="preserve"> </w:t>
      </w:r>
      <w:r>
        <w:t xml:space="preserve">estimates. The distant stratum contains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false positive in 61 compounds, and its 95 per cent</w:t>
      </w:r>
      <w:r>
        <w:t xml:space="preserve"> </w:t>
      </w:r>
      <w:r>
        <w:t xml:space="preserve">interval, 0.0029 to 0.0872,</w:t>
      </w:r>
      <w:r>
        <w:t xml:space="preserve"> </w:t>
      </w:r>
      <w:r>
        <w:rPr>
          <w:b/>
          <w:bCs/>
        </w:rPr>
        <w:t xml:space="preserve">contains the comparator it is being compared against</w:t>
      </w:r>
      <w:r>
        <w:t xml:space="preserve">. Tested rather</w:t>
      </w:r>
      <w:r>
        <w:t xml:space="preserve"> </w:t>
      </w:r>
      <w:r>
        <w:t xml:space="preserve">than compared: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Fisher exact, two-sided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Distant against library chemistry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= 0.119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Distant against near 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= 0.161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Distant against in domain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 = 0.023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Homogeneity across the three strata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chi-square = 5.44, 2 d.f., p = 0.066</w:t>
            </w:r>
          </w:p>
        </w:tc>
      </w:tr>
    </w:tbl>
    <w:p>
      <w:pPr>
        <w:pStyle w:val="BodyText"/>
      </w:pPr>
      <w:r>
        <w:t xml:space="preserve">So the defensible claim is narrower than the verdict.</w:t>
      </w:r>
      <w:r>
        <w:t xml:space="preserve"> </w:t>
      </w:r>
      <w:r>
        <w:rPr>
          <w:b/>
          <w:bCs/>
        </w:rPr>
        <w:t xml:space="preserve">Specificity does not degrade outside the</w:t>
      </w:r>
      <w:r>
        <w:rPr>
          <w:b/>
          <w:bCs/>
        </w:rPr>
        <w:t xml:space="preserve"> </w:t>
      </w:r>
      <w:r>
        <w:rPr>
          <w:b/>
          <w:bCs/>
        </w:rPr>
        <w:t xml:space="preserve">training neighbourhood</w:t>
      </w:r>
      <w:r>
        <w:t xml:space="preserve">, which is what the null predicted it would do, and that is a real negative</w:t>
      </w:r>
      <w:r>
        <w:t xml:space="preserve"> </w:t>
      </w:r>
      <w:r>
        <w:t xml:space="preserve">result worth having. The stronger reading, that specificity improves with distance, rests on a single</w:t>
      </w:r>
      <w:r>
        <w:t xml:space="preserve"> </w:t>
      </w:r>
      <w:r>
        <w:t xml:space="preserve">count and does not separate from the comparator at conventional significance. The honest form is that</w:t>
      </w:r>
      <w:r>
        <w:t xml:space="preserve"> </w:t>
      </w:r>
      <w:r>
        <w:t xml:space="preserve">H4’s null is not supported and H4’s alternative is not established, on 61 compounds.</w:t>
      </w:r>
    </w:p>
    <w:p>
      <w:pPr>
        <w:pStyle w:val="BodyText"/>
      </w:pPr>
      <w:r>
        <w:t xml:space="preserve">The in-domain row deserves a sentence of its own. At 0.1200 it is the</w:t>
      </w:r>
      <w:r>
        <w:t xml:space="preserve"> </w:t>
      </w:r>
      <w:r>
        <w:rPr>
          <w:b/>
          <w:bCs/>
        </w:rPr>
        <w:t xml:space="preserve">worst</w:t>
      </w:r>
      <w:r>
        <w:t xml:space="preserve"> </w:t>
      </w:r>
      <w:r>
        <w:t xml:space="preserve">of the three strata,</w:t>
      </w:r>
      <w:r>
        <w:t xml:space="preserve"> </w:t>
      </w:r>
      <w:r>
        <w:t xml:space="preserve">and it is higher than the 0.0750 measured on the non-CNS library, whose compounds are also in domain.</w:t>
      </w:r>
      <w:r>
        <w:t xml:space="preserve"> </w:t>
      </w:r>
      <w:r>
        <w:t xml:space="preserve">Random PubChem structures resembling training chemistry are harder for this system than curated</w:t>
      </w:r>
      <w:r>
        <w:t xml:space="preserve"> </w:t>
      </w:r>
      <w:r>
        <w:t xml:space="preserve">non-CNS drugs are. The intervals overlap, so this is a direction rather than a finding, but it points</w:t>
      </w:r>
      <w:r>
        <w:t xml:space="preserve"> </w:t>
      </w:r>
      <w:r>
        <w:t xml:space="preserve">the opposite way from the reassuring reading of the table.</w:t>
      </w:r>
    </w:p>
    <w:bookmarkEnd w:id="14"/>
    <w:bookmarkStart w:id="15" w:name="X5e2bdd4c319364cead29df07b70ce7e7935e2e4"/>
    <w:p>
      <w:pPr>
        <w:pStyle w:val="Heading3"/>
      </w:pPr>
      <w:r>
        <w:t xml:space="preserve">H5: read-across against a frequency baseline</w:t>
      </w:r>
    </w:p>
    <w:p>
      <w:pPr>
        <w:pStyle w:val="FirstParagraph"/>
      </w:pPr>
      <w:r>
        <w:t xml:space="preserve">Read-across recovers the true target in the top three of five similarity-weighted nearest neighbours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0.9726</w:t>
      </w:r>
      <w:r>
        <w:t xml:space="preserve"> </w:t>
      </w:r>
      <w:r>
        <w:t xml:space="preserve">of 4,092 held-out compounds across 41 targets, interval 0.9672 to 0.9772, against</w:t>
      </w:r>
      <w:r>
        <w:t xml:space="preserve"> </w:t>
      </w:r>
      <w:r>
        <w:rPr>
          <w:b/>
          <w:bCs/>
        </w:rPr>
        <w:t xml:space="preserve">0.0587</w:t>
      </w:r>
      <w:r>
        <w:t xml:space="preserve"> </w:t>
      </w:r>
      <w:r>
        <w:t xml:space="preserve">for always answering with the three commonest targets in the index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inversion/results/H5_readacross_value.csv</w:t>
      </w:r>
      <w:r>
        <w:t xml:space="preserve">). Per target the recall runs from 0.826 at Nav1.5 to</w:t>
      </w:r>
      <w:r>
        <w:t xml:space="preserve"> </w:t>
      </w:r>
      <w:r>
        <w:t xml:space="preserve">1.000, which nine of the 41 targets reach, with a median of 0.983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inversion/results/H5_readacross_per_target.csv</w:t>
      </w:r>
      <w:r>
        <w:t xml:space="preserve">).</w:t>
      </w:r>
    </w:p>
    <w:p>
      <w:pPr>
        <w:pStyle w:val="BodyText"/>
      </w:pPr>
      <w:r>
        <w:t xml:space="preserve">Two things constrain what this can be quoted for, and the second is not stated anywhere in the</w:t>
      </w:r>
      <w:r>
        <w:t xml:space="preserve"> </w:t>
      </w:r>
      <w:r>
        <w:t xml:space="preserve">project.</w:t>
      </w:r>
    </w:p>
    <w:p>
      <w:pPr>
        <w:pStyle w:val="BodyText"/>
      </w:pPr>
      <w:r>
        <w:rPr>
          <w:b/>
          <w:bCs/>
        </w:rPr>
        <w:t xml:space="preserve">The frequency null is bounded by the design of the evaluation set, not by the difficulty of the</w:t>
      </w:r>
      <w:r>
        <w:rPr>
          <w:b/>
          <w:bCs/>
        </w:rPr>
        <w:t xml:space="preserve"> </w:t>
      </w:r>
      <w:r>
        <w:rPr>
          <w:b/>
          <w:bCs/>
        </w:rPr>
        <w:t xml:space="preserve">task.</w:t>
      </w:r>
      <w:r>
        <w:t xml:space="preserve"> </w:t>
      </w:r>
      <w:r>
        <w:t xml:space="preserve">The set caps each target at 120 compounds, so with 41 targets contributing 4,092 compounds</w:t>
      </w:r>
      <w:r>
        <w:t xml:space="preserve"> </w:t>
      </w:r>
      <w:r>
        <w:t xml:space="preserve">between them, any constant answer naming three targets can be right at most about 360 times, roughly</w:t>
      </w:r>
      <w:r>
        <w:t xml:space="preserve"> </w:t>
      </w:r>
      <w:r>
        <w:t xml:space="preserve">0.088. The measured 0.0587 is exactly 240 of 4,092: the two commonest index targets that appear in</w:t>
      </w:r>
      <w:r>
        <w:t xml:space="preserve"> </w:t>
      </w:r>
      <w:r>
        <w:t xml:space="preserve">the evaluation set, D2 and A2A, each contributing its full block of 120, and nothing else</w:t>
      </w:r>
      <w:r>
        <w:t xml:space="preserve"> </w:t>
      </w:r>
      <w:r>
        <w:t xml:space="preserve">contributing at all. A null with a ceiling near 0.09 cannot distinguish a good retrieval method from</w:t>
      </w:r>
      <w:r>
        <w:t xml:space="preserve"> </w:t>
      </w:r>
      <w:r>
        <w:t xml:space="preserve">a mediocre one. Beating it by 0.91 is not evidence of quality; it is evidence that the null was the</w:t>
      </w:r>
      <w:r>
        <w:t xml:space="preserve"> </w:t>
      </w:r>
      <w:r>
        <w:t xml:space="preserve">wrong instrument.</w:t>
      </w:r>
    </w:p>
    <w:p>
      <w:pPr>
        <w:pStyle w:val="BodyText"/>
      </w:pPr>
      <w:r>
        <w:rPr>
          <w:b/>
          <w:bCs/>
        </w:rPr>
        <w:t xml:space="preserve">The index is not filtered by scaffold.</w:t>
      </w:r>
      <w:r>
        <w:t xml:space="preserve"> </w:t>
      </w:r>
      <w:r>
        <w:t xml:space="preserve">The query compound and any structure at Tanimoto &gt;= 0.999</w:t>
      </w:r>
      <w:r>
        <w:t xml:space="preserve"> </w:t>
      </w:r>
      <w:r>
        <w:t xml:space="preserve">are excluded, and nothing else (</w:t>
      </w:r>
      <w:r>
        <w:rPr>
          <w:rStyle w:val="VerbatimChar"/>
        </w:rPr>
        <w:t xml:space="preserve">inversion/inv_readacross_value.py:76-79</w:t>
      </w:r>
      <w:r>
        <w:t xml:space="preserve">). The compounds are held</w:t>
      </w:r>
      <w:r>
        <w:t xml:space="preserve"> </w:t>
      </w:r>
      <w:r>
        <w:t xml:space="preserve">out from the</w:t>
      </w:r>
      <w:r>
        <w:t xml:space="preserve"> </w:t>
      </w:r>
      <w:r>
        <w:rPr>
          <w:i/>
          <w:iCs/>
        </w:rPr>
        <w:t xml:space="preserve">models</w:t>
      </w:r>
      <w:r>
        <w:t xml:space="preserve">, but the read-across index is the full deployed index, so a held-out compound’s</w:t>
      </w:r>
      <w:r>
        <w:t xml:space="preserve"> </w:t>
      </w:r>
      <w:r>
        <w:t xml:space="preserve">own scaffold siblings are among the neighbours available to answer for it. The script’s docstring is</w:t>
      </w:r>
      <w:r>
        <w:t xml:space="preserve"> </w:t>
      </w:r>
      <w:r>
        <w:t xml:space="preserve">candid about this, saying the scaffold is absent</w:t>
      </w:r>
      <w:r>
        <w:t xml:space="preserve"> </w:t>
      </w:r>
      <w:r>
        <w:t xml:space="preserve">“only in the sense that the models never trained on</w:t>
      </w:r>
      <w:r>
        <w:t xml:space="preserve"> </w:t>
      </w:r>
      <w:r>
        <w:t xml:space="preserve">it”</w:t>
      </w:r>
      <w:r>
        <w:t xml:space="preserve">, but neither the verdict line nor the report carries the qualification.</w:t>
      </w:r>
    </w:p>
    <w:p>
      <w:pPr>
        <w:pStyle w:val="BodyText"/>
      </w:pPr>
      <w:r>
        <w:t xml:space="preserve">So H5 measures read-across</w:t>
      </w:r>
      <w:r>
        <w:t xml:space="preserve"> </w:t>
      </w:r>
      <w:r>
        <w:rPr>
          <w:b/>
          <w:bCs/>
        </w:rPr>
        <w:t xml:space="preserve">in its deployment regime</w:t>
      </w:r>
      <w:r>
        <w:t xml:space="preserve">, where a query’s chemical family is already</w:t>
      </w:r>
      <w:r>
        <w:t xml:space="preserve"> </w:t>
      </w:r>
      <w:r>
        <w:t xml:space="preserve">represented in the index, and 0.9726 is the right number for that regime. It says nothing about a</w:t>
      </w:r>
      <w:r>
        <w:t xml:space="preserve"> </w:t>
      </w:r>
      <w:r>
        <w:t xml:space="preserve">novel scaffold or an unrepresented target class and must not be quoted as if it did. The report</w:t>
      </w:r>
      <w:r>
        <w:t xml:space="preserve"> </w:t>
      </w:r>
      <w:r>
        <w:t xml:space="preserve">already carries the target-class half of this caveat. The scaffold half is missing and belongs beside</w:t>
      </w:r>
      <w:r>
        <w:t xml:space="preserve"> </w:t>
      </w:r>
      <w:r>
        <w:t xml:space="preserve">it.</w:t>
      </w:r>
    </w:p>
    <w:bookmarkEnd w:id="15"/>
    <w:bookmarkEnd w:id="16"/>
    <w:bookmarkStart w:id="17" w:name="X42d07aafe07e47b2208b47dc82fa6f265b18c24"/>
    <w:p>
      <w:pPr>
        <w:pStyle w:val="Heading2"/>
      </w:pPr>
      <w:r>
        <w:t xml:space="preserve">9.7 The claim the suite never made: a permutation null</w:t>
      </w:r>
    </w:p>
    <w:p>
      <w:pPr>
        <w:pStyle w:val="FirstParagraph"/>
      </w:pPr>
      <w:r>
        <w:t xml:space="preserve">Chapter 8 closed by flagging that the technical report’s null models have no artefact. Section 6.9</w:t>
      </w:r>
      <w:r>
        <w:t xml:space="preserve"> </w:t>
      </w:r>
      <w:r>
        <w:t xml:space="preserve">states that with labels permuted the same pipeline on the same folds returns a mean AUROC of 0.4938</w:t>
      </w:r>
      <w:r>
        <w:t xml:space="preserve"> </w:t>
      </w:r>
      <w:r>
        <w:t xml:space="preserve">random and 0.4921 scaffold, worst single endpoint 0.5174. Those three numbers are hard-coded inside a</w:t>
      </w:r>
      <w:r>
        <w:t xml:space="preserve"> </w:t>
      </w:r>
      <w:r>
        <w:t xml:space="preserve">literal prose block at</w:t>
      </w:r>
      <w:r>
        <w:t xml:space="preserve"> </w:t>
      </w:r>
      <w:r>
        <w:rPr>
          <w:rStyle w:val="VerbatimChar"/>
        </w:rPr>
        <w:t xml:space="preserve">build_technical_report.py:1326</w:t>
      </w:r>
      <w:r>
        <w:t xml:space="preserve">. No file in the repository held them and no</w:t>
      </w:r>
      <w:r>
        <w:t xml:space="preserve"> </w:t>
      </w:r>
      <w:r>
        <w:t xml:space="preserve">script computed them, which made this the load-bearing claim of the whole validation programme and</w:t>
      </w:r>
      <w:r>
        <w:t xml:space="preserve"> </w:t>
      </w:r>
      <w:r>
        <w:t xml:space="preserve">also the only one a reader could not check: it is the evidence that the cross-validated figures are</w:t>
      </w:r>
      <w:r>
        <w:t xml:space="preserve"> </w:t>
      </w:r>
      <w:r>
        <w:t xml:space="preserve">not inflated by leakage.</w:t>
      </w:r>
    </w:p>
    <w:p>
      <w:pPr>
        <w:pStyle w:val="BodyText"/>
      </w:pPr>
      <w:r>
        <w:t xml:space="preserve">It has now been computed.</w:t>
      </w:r>
      <w:r>
        <w:t xml:space="preserve"> </w:t>
      </w:r>
      <w:r>
        <w:rPr>
          <w:rStyle w:val="VerbatimChar"/>
        </w:rPr>
        <w:t xml:space="preserve">src/brainsafe/evaluation/permutation_null.py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train_rf</w:t>
      </w:r>
      <w:r>
        <w:t xml:space="preserve"> </w:t>
      </w:r>
      <w:r>
        <w:t xml:space="preserve">rather</w:t>
      </w:r>
      <w:r>
        <w:t xml:space="preserve"> </w:t>
      </w:r>
      <w:r>
        <w:t xml:space="preserve">than reimplementing it, so the featuriser, the deduplication, the Bemis-Murcko grouping, the fold</w:t>
      </w:r>
      <w:r>
        <w:t xml:space="preserve"> </w:t>
      </w:r>
      <w:r>
        <w:t xml:space="preserve">objects and the forest hyper-parameters are identical by construction rather than by resemblance. One</w:t>
      </w:r>
      <w:r>
        <w:t xml:space="preserve"> </w:t>
      </w:r>
      <w:r>
        <w:t xml:space="preserve">permutation is drawn per endpoint from a seed derived from the endpoint name, preserving the class</w:t>
      </w:r>
      <w:r>
        <w:t xml:space="preserve"> </w:t>
      </w:r>
      <w:r>
        <w:t xml:space="preserve">balance, and the same ten-fold random and scaffold cross-validation is then run on the permuted</w:t>
      </w:r>
      <w:r>
        <w:t xml:space="preserve"> </w:t>
      </w:r>
      <w:r>
        <w:t xml:space="preserve">labels.</w:t>
      </w:r>
    </w:p>
    <w:p>
      <w:pPr>
        <w:pStyle w:val="BodyText"/>
      </w:pPr>
      <w:r>
        <w:t xml:space="preserve">What a permuted label destroys, and what it deliberately does not, is the point of the test: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Destroyed</w:t>
            </w:r>
          </w:p>
        </w:tc>
        <w:tc>
          <w:tcPr/>
          <w:p>
            <w:pPr>
              <w:pStyle w:val="Compact"/>
            </w:pPr>
            <w:r>
              <w:t xml:space="preserve">any association between a compound’s features and its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Preserved</w:t>
            </w:r>
          </w:p>
        </w:tc>
        <w:tc>
          <w:tcPr/>
          <w:p>
            <w:pPr>
              <w:pStyle w:val="Compact"/>
            </w:pPr>
            <w:r>
              <w:t xml:space="preserve">the class balance, the fold sizes, the scaffold grouping, and the tendency of whole scaffold classes to be sampled together</w:t>
            </w:r>
          </w:p>
        </w:tc>
      </w:tr>
    </w:tbl>
    <w:p>
      <w:pPr>
        <w:pStyle w:val="BodyText"/>
      </w:pPr>
      <w:r>
        <w:t xml:space="preserve">The second row is the hypothesis under test. A scaffold-grouped fold could report a respectable AUROC</w:t>
      </w:r>
      <w:r>
        <w:t xml:space="preserve"> </w:t>
      </w:r>
      <w:r>
        <w:t xml:space="preserve">without any chemistry being learned, if scaffold classes differed enough in class frequency for the</w:t>
      </w:r>
      <w:r>
        <w:t xml:space="preserve"> </w:t>
      </w:r>
      <w:r>
        <w:t xml:space="preserve">grouping alone to be exploitable. Permuting the labels breaks the chemistry and keeps the grouping,</w:t>
      </w:r>
      <w:r>
        <w:t xml:space="preserve"> </w:t>
      </w:r>
      <w:r>
        <w:t xml:space="preserve">so a scaffold figure that stays at chance under permutation cannot be an artefact of the grouping.</w:t>
      </w:r>
    </w:p>
    <w:p>
      <w:pPr>
        <w:pStyle w:val="BodyText"/>
      </w:pPr>
      <w:r>
        <w:t xml:space="preserve">The result is</w:t>
      </w:r>
      <w:r>
        <w:t xml:space="preserve"> </w:t>
      </w:r>
      <w:r>
        <w:rPr>
          <w:rStyle w:val="VerbatimChar"/>
        </w:rPr>
        <w:t xml:space="preserve">results/tables/permutation_null.csv</w:t>
      </w:r>
      <w:r>
        <w:t xml:space="preserve">, over the eight core classification endpoints: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 null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Scaffold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GSK-3-beta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 one of the sixteen values sits within 0.020 of chance.</w:t>
      </w:r>
      <w:r>
        <w:t xml:space="preserve"> </w:t>
      </w:r>
      <w:r>
        <w:t xml:space="preserve">The random mean is 0.4959 over a</w:t>
      </w:r>
      <w:r>
        <w:t xml:space="preserve"> </w:t>
      </w:r>
      <w:r>
        <w:t xml:space="preserve">range of 0.4868 to 0.5200; the scaffold mean is 0.5026 over a range of 0.4830 to 0.5199. Quoting the</w:t>
      </w:r>
      <w:r>
        <w:t xml:space="preserve"> </w:t>
      </w:r>
      <w:r>
        <w:t xml:space="preserve">means alone would hide that spread, and the spread is what a single permutation per endpoint costs:</w:t>
      </w:r>
      <w:r>
        <w:t xml:space="preserve"> </w:t>
      </w:r>
      <w:r>
        <w:t xml:space="preserve">the per-fold standard deviations run from 0.0197 to 0.0457, so an endpoint’s null carries roughly</w:t>
      </w:r>
      <w:r>
        <w:t xml:space="preserve"> </w:t>
      </w:r>
      <w:r>
        <w:t xml:space="preserve">plus or minus 0.02 of sampling noise and the deviations observed are of that size and of both signs.</w:t>
      </w:r>
      <w:r>
        <w:t xml:space="preserve"> </w:t>
      </w:r>
      <w:r>
        <w:t xml:space="preserve">The panel mean is the reliable statistic here, not any individual row.</w:t>
      </w:r>
    </w:p>
    <w:p>
      <w:pPr>
        <w:pStyle w:val="BodyText"/>
      </w:pPr>
      <w:r>
        <w:t xml:space="preserve">Two conclusions follow, and the second is the one the test was built for.</w:t>
      </w:r>
    </w:p>
    <w:p>
      <w:pPr>
        <w:pStyle w:val="BodyText"/>
      </w:pPr>
      <w:r>
        <w:rPr>
          <w:b/>
          <w:bCs/>
        </w:rPr>
        <w:t xml:space="preserve">The cross-validated figures are not obtainable without the labels.</w:t>
      </w:r>
      <w:r>
        <w:t xml:space="preserve"> </w:t>
      </w:r>
      <w:r>
        <w:t xml:space="preserve">Against each endpoint’s own</w:t>
      </w:r>
      <w:r>
        <w:t xml:space="preserve"> </w:t>
      </w:r>
      <w:r>
        <w:t xml:space="preserve">permuted null, the margin runs from 0.4092 at BBB to 0.4887 at BACE1 under the random split, mean</w:t>
      </w:r>
      <w:r>
        <w:t xml:space="preserve"> </w:t>
      </w:r>
      <w:r>
        <w:t xml:space="preserve">0.4616, and from</w:t>
      </w:r>
      <w:r>
        <w:t xml:space="preserve"> </w:t>
      </w:r>
      <w:r>
        <w:rPr>
          <w:b/>
          <w:bCs/>
        </w:rPr>
        <w:t xml:space="preserve">0.3860 at BBB</w:t>
      </w:r>
      <w:r>
        <w:t xml:space="preserve"> </w:t>
      </w:r>
      <w:r>
        <w:t xml:space="preserve">to 0.4818 at BACE1 under the scaffold split, mean 0.4226. The</w:t>
      </w:r>
      <w:r>
        <w:t xml:space="preserve"> </w:t>
      </w:r>
      <w:r>
        <w:t xml:space="preserve">largest deviation any null shows from 0.500 is 0.0200, so the smallest margin in the panel is more</w:t>
      </w:r>
      <w:r>
        <w:t xml:space="preserve"> </w:t>
      </w:r>
      <w:r>
        <w:t xml:space="preserve">than nineteen times the largest departure from chance the null itself produces.</w:t>
      </w:r>
    </w:p>
    <w:p>
      <w:pPr>
        <w:pStyle w:val="BodyText"/>
      </w:pPr>
      <w:r>
        <w:rPr>
          <w:b/>
          <w:bCs/>
        </w:rPr>
        <w:t xml:space="preserve">Scaffold grouping alone confers nothing.</w:t>
      </w:r>
      <w:r>
        <w:t xml:space="preserve"> </w:t>
      </w:r>
      <w:r>
        <w:t xml:space="preserve">This is the specific leakage route the test exists to</w:t>
      </w:r>
      <w:r>
        <w:t xml:space="preserve"> </w:t>
      </w:r>
      <w:r>
        <w:t xml:space="preserve">close. Paired by endpoint, the scaffold null exceeds the random null by a mean of only 0.0067</w:t>
      </w:r>
      <w:r>
        <w:t xml:space="preserve"> </w:t>
      </w:r>
      <w:r>
        <w:t xml:space="preserve">(Wilcoxon p = 0.25, paired t-test p = 0.16), and the sign is negative for three of the eight</w:t>
      </w:r>
      <w:r>
        <w:t xml:space="preserve"> </w:t>
      </w:r>
      <w:r>
        <w:t xml:space="preserve">endpoints. Whole scaffold classes do not carry enough class-frequency information for a label-free</w:t>
      </w:r>
      <w:r>
        <w:t xml:space="preserve"> </w:t>
      </w:r>
      <w:r>
        <w:t xml:space="preserve">model to exploit the grouping, so the scaffold-split figures in Chapter 3 are not inflated by that</w:t>
      </w:r>
      <w:r>
        <w:t xml:space="preserve"> </w:t>
      </w:r>
      <w:r>
        <w:t xml:space="preserve">route.</w:t>
      </w:r>
    </w:p>
    <w:p>
      <w:pPr>
        <w:pStyle w:val="BodyText"/>
      </w:pPr>
      <w:r>
        <w:t xml:space="preserve">One qualification, and it matters for how this section should be read.</w:t>
      </w:r>
      <w:r>
        <w:t xml:space="preserve"> </w:t>
      </w:r>
      <w:r>
        <w:rPr>
          <w:b/>
          <w:bCs/>
        </w:rPr>
        <w:t xml:space="preserve">The report’s specific</w:t>
      </w:r>
      <w:r>
        <w:rPr>
          <w:b/>
          <w:bCs/>
        </w:rPr>
        <w:t xml:space="preserve"> </w:t>
      </w:r>
      <w:r>
        <w:rPr>
          <w:b/>
          <w:bCs/>
        </w:rPr>
        <w:t xml:space="preserve">figures are corroborated rather than reproduced.</w:t>
      </w:r>
      <w:r>
        <w:t xml:space="preserve"> </w:t>
      </w:r>
      <w:r>
        <w:t xml:space="preserve">Its 0.4938 random and 0.4921 scaffold sit 0.0021</w:t>
      </w:r>
      <w:r>
        <w:t xml:space="preserve"> </w:t>
      </w:r>
      <w:r>
        <w:t xml:space="preserve">and 0.0105 from the values measured here, and its worst single endpoint of 0.5174 sits 0.0026 from</w:t>
      </w:r>
      <w:r>
        <w:t xml:space="preserve"> </w:t>
      </w:r>
      <w:r>
        <w:t xml:space="preserve">the 0.5200 measured at GSK-3-beta. Those gaps are the size of the sampling noise above, so the two</w:t>
      </w:r>
      <w:r>
        <w:t xml:space="preserve"> </w:t>
      </w:r>
      <w:r>
        <w:t xml:space="preserve">runs agree, but the report records no seed and a permutation null is a random quantity, so its exact</w:t>
      </w:r>
      <w:r>
        <w:t xml:space="preserve"> </w:t>
      </w:r>
      <w:r>
        <w:t xml:space="preserve">triple cannot be recovered by anyone. The right correction is for section 6.9 to cite the artefact</w:t>
      </w:r>
      <w:r>
        <w:t xml:space="preserve"> </w:t>
      </w:r>
      <w:r>
        <w:t xml:space="preserve">rather than restate a number, which is the same fix Chapter 3 recommended for the censored-bound</w:t>
      </w:r>
      <w:r>
        <w:t xml:space="preserve"> </w:t>
      </w:r>
      <w:r>
        <w:t xml:space="preserve">count.</w:t>
      </w:r>
    </w:p>
    <w:bookmarkEnd w:id="17"/>
    <w:bookmarkStart w:id="18" w:name="where-the-suite-is-weaker-than-it-reads"/>
    <w:p>
      <w:pPr>
        <w:pStyle w:val="Heading2"/>
      </w:pPr>
      <w:r>
        <w:t xml:space="preserve">9.8 Where the suite is weaker than it reads</w:t>
      </w:r>
    </w:p>
    <w:p>
      <w:pPr>
        <w:pStyle w:val="FirstParagraph"/>
      </w:pPr>
      <w:r>
        <w:t xml:space="preserve">Six defects, found while writing this chapter. None changes a verdict. Together they describe a suite</w:t>
      </w:r>
      <w:r>
        <w:t xml:space="preserve"> </w:t>
      </w:r>
      <w:r>
        <w:t xml:space="preserve">that was built carefully and maintained less carefully than the pipeline it audits.</w:t>
      </w:r>
    </w:p>
    <w:p>
      <w:pPr>
        <w:pStyle w:val="BodyText"/>
      </w:pPr>
      <w:r>
        <w:rPr>
          <w:b/>
          <w:bCs/>
        </w:rPr>
        <w:t xml:space="preserve">1. The verdict rule for three hypotheses lives in two places, and for one of them the two</w:t>
      </w:r>
      <w:r>
        <w:rPr>
          <w:b/>
          <w:bCs/>
        </w:rPr>
        <w:t xml:space="preserve"> </w:t>
      </w:r>
      <w:r>
        <w:rPr>
          <w:b/>
          <w:bCs/>
        </w:rPr>
        <w:t xml:space="preserve">disagree.</w:t>
      </w:r>
      <w:r>
        <w:t xml:space="preserve"> </w:t>
      </w:r>
      <w:r>
        <w:t xml:space="preserve">Each test script prints its own verdict, and</w:t>
      </w:r>
      <w:r>
        <w:t xml:space="preserve"> </w:t>
      </w:r>
      <w:r>
        <w:rPr>
          <w:rStyle w:val="VerbatimChar"/>
        </w:rPr>
        <w:t xml:space="preserve">inversion/summarise.py</w:t>
      </w:r>
      <w:r>
        <w:t xml:space="preserve"> </w:t>
      </w:r>
      <w:r>
        <w:t xml:space="preserve">recomputes every</w:t>
      </w:r>
      <w:r>
        <w:t xml:space="preserve"> </w:t>
      </w:r>
      <w:r>
        <w:t xml:space="preserve">verdict from the CSVs when it writes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VERDICTS.csv</w:t>
      </w:r>
      <w:r>
        <w:t xml:space="preserve">. For H1, H2 and H5 the two rules</w:t>
      </w:r>
      <w:r>
        <w:t xml:space="preserve"> </w:t>
      </w:r>
      <w:r>
        <w:t xml:space="preserve">use different label sets: the test script has a WEAKENED band that the summary drops. For H1 and H5</w:t>
      </w:r>
      <w:r>
        <w:t xml:space="preserve"> </w:t>
      </w:r>
      <w:r>
        <w:t xml:space="preserve">the outcome is the same either way. For H2 it is not.</w:t>
      </w:r>
      <w:r>
        <w:t xml:space="preserve"> </w:t>
      </w:r>
      <w:r>
        <w:rPr>
          <w:rStyle w:val="VerbatimChar"/>
        </w:rPr>
        <w:t xml:space="preserve">inv_disease_layer.py:228</w:t>
      </w:r>
      <w:r>
        <w:t xml:space="preserve"> </w:t>
      </w:r>
      <w:r>
        <w:t xml:space="preserve">prints</w:t>
      </w:r>
      <w:r>
        <w:t xml:space="preserve"> </w:t>
      </w:r>
      <w:r>
        <w:rPr>
          <w:b/>
          <w:bCs/>
        </w:rPr>
        <w:t xml:space="preserve">WEAKENED</w:t>
      </w:r>
      <w:r>
        <w:t xml:space="preserve">,</w:t>
      </w:r>
      <w:r>
        <w:t xml:space="preserve"> </w:t>
      </w:r>
      <w:r>
        <w:t xml:space="preserve">“curation adds little over uniform”</w:t>
      </w:r>
      <w:r>
        <w:t xml:space="preserve">;</w:t>
      </w:r>
      <w:r>
        <w:t xml:space="preserve"> </w:t>
      </w:r>
      <w:r>
        <w:rPr>
          <w:rStyle w:val="VerbatimChar"/>
        </w:rPr>
        <w:t xml:space="preserve">summarise.py:60</w:t>
      </w:r>
      <w:r>
        <w:t xml:space="preserve"> </w:t>
      </w:r>
      <w:r>
        <w:t xml:space="preserve">publishes</w:t>
      </w:r>
      <w:r>
        <w:t xml:space="preserve"> </w:t>
      </w:r>
      <w:r>
        <w:rPr>
          <w:b/>
          <w:bCs/>
        </w:rPr>
        <w:t xml:space="preserve">REFUTED</w:t>
      </w:r>
      <w:r>
        <w:t xml:space="preserve">. The published verdict is</w:t>
      </w:r>
      <w:r>
        <w:t xml:space="preserve"> </w:t>
      </w:r>
      <w:r>
        <w:t xml:space="preserve">the harsher of the two, which is the right direction to err in, but a verdict should not depend on</w:t>
      </w:r>
      <w:r>
        <w:t xml:space="preserve"> </w:t>
      </w:r>
      <w:r>
        <w:t xml:space="preserve">which of two copies of a rule a reader happens to run. This is the defect class that commit</w:t>
      </w:r>
      <w:r>
        <w:t xml:space="preserve"> </w:t>
      </w:r>
      <w:r>
        <w:rPr>
          <w:rStyle w:val="VerbatimChar"/>
        </w:rPr>
        <w:t xml:space="preserve">d8da016</w:t>
      </w:r>
      <w:r>
        <w:t xml:space="preserve"> </w:t>
      </w:r>
      <w:r>
        <w:t xml:space="preserve">fixed for the reliability gate, where the gate</w:t>
      </w:r>
      <w:r>
        <w:t xml:space="preserve"> </w:t>
      </w:r>
      <w:r>
        <w:t xml:space="preserve">“lived in six places and disagreed with itself in</w:t>
      </w:r>
      <w:r>
        <w:t xml:space="preserve"> </w:t>
      </w:r>
      <w:r>
        <w:t xml:space="preserve">three”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No test pins any verdict.</w:t>
      </w:r>
      <w:r>
        <w:t xml:space="preserve"> </w:t>
      </w:r>
      <w:r>
        <w:t xml:space="preserve">The repository’s five test files contain no reference to</w:t>
      </w:r>
      <w:r>
        <w:t xml:space="preserve"> </w:t>
      </w:r>
      <w:r>
        <w:rPr>
          <w:rStyle w:val="VerbatimChar"/>
        </w:rPr>
        <w:t xml:space="preserve">inversion/</w:t>
      </w:r>
      <w:r>
        <w:t xml:space="preserve">. Every other load-bearing quantity in this project is pinned by an assertion somewhere.</w:t>
      </w:r>
      <w:r>
        <w:t xml:space="preserve"> </w:t>
      </w:r>
      <w:r>
        <w:t xml:space="preserve">The falsification results are not, so a rerun that silently flipped a verdict would be caught only by</w:t>
      </w:r>
      <w:r>
        <w:t xml:space="preserve"> </w:t>
      </w:r>
      <w:r>
        <w:t xml:space="preserve">a person reading the report.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app.py</w:t>
      </w:r>
      <w:r>
        <w:rPr>
          <w:b/>
          <w:bCs/>
        </w:rPr>
        <w:t xml:space="preserve"> </w:t>
      </w:r>
      <w:r>
        <w:rPr>
          <w:b/>
          <w:bCs/>
        </w:rPr>
        <w:t xml:space="preserve">still quotes a withdrawn version of H2.</w:t>
      </w:r>
      <w:r>
        <w:t xml:space="preserve"> </w:t>
      </w:r>
      <w:r>
        <w:t xml:space="preserve">The comment at</w:t>
      </w:r>
      <w:r>
        <w:t xml:space="preserve"> </w:t>
      </w:r>
      <w:r>
        <w:rPr>
          <w:rStyle w:val="VerbatimChar"/>
        </w:rPr>
        <w:t xml:space="preserve">app.py:102-104</w:t>
      </w:r>
      <w:r>
        <w:t xml:space="preserve"> </w:t>
      </w:r>
      <w:r>
        <w:t xml:space="preserve">reads: an</w:t>
      </w:r>
      <w:r>
        <w:t xml:space="preserve"> </w:t>
      </w:r>
      <w:r>
        <w:t xml:space="preserve">ablation</w:t>
      </w:r>
      <w:r>
        <w:t xml:space="preserve"> </w:t>
      </w:r>
      <w:r>
        <w:t xml:space="preserve">“over 15,609 scaffold-held-out compounds found that curated, uniform and randomly permuted</w:t>
      </w:r>
      <w:r>
        <w:t xml:space="preserve"> </w:t>
      </w:r>
      <w:r>
        <w:t xml:space="preserve">weights give top-3 disease accuracy of 0.7917, 0.7911 and 0.7899”</w:t>
      </w:r>
      <w:r>
        <w:t xml:space="preserve">. The artefact it cites now reads</w:t>
      </w:r>
      <w:r>
        <w:t xml:space="preserve"> </w:t>
      </w:r>
      <w:r>
        <w:t xml:space="preserve">0.7901, 0.7897 and 0.7874 on 7,008 compounds. The triple is the 4 August run and the artefact has</w:t>
      </w:r>
      <w:r>
        <w:t xml:space="preserve"> </w:t>
      </w:r>
      <w:r>
        <w:t xml:space="preserve">been regenerated six times since. The population is worse than stale: 15,609 never matched this</w:t>
      </w:r>
      <w:r>
        <w:t xml:space="preserve"> </w:t>
      </w:r>
      <w:r>
        <w:t xml:space="preserve">experiment at all. On the day the comment was written the artefact said 7,524, and</w:t>
      </w:r>
      <w:r>
        <w:t xml:space="preserve"> </w:t>
      </w:r>
      <w:r>
        <w:rPr>
          <w:rStyle w:val="VerbatimChar"/>
        </w:rPr>
        <w:t xml:space="preserve">audit/AUDIT_REPORT.md:824</w:t>
      </w:r>
      <w:r>
        <w:t xml:space="preserve"> </w:t>
      </w:r>
      <w:r>
        <w:t xml:space="preserve">identifies 15,609 as the denominator of a pooled-recall calculation, a</w:t>
      </w:r>
      <w:r>
        <w:t xml:space="preserve"> </w:t>
      </w:r>
      <w:r>
        <w:t xml:space="preserve">different quantity from a different table. The project’s own audit recorded this as item BS-M-04,</w:t>
      </w:r>
      <w:r>
        <w:t xml:space="preserve"> </w:t>
      </w:r>
      <w:r>
        <w:t xml:space="preserve">“weight ablation, two triples for one experiment”</w:t>
      </w:r>
      <w:r>
        <w:t xml:space="preserve">, and named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explicitly. It was corrected in</w:t>
      </w:r>
      <w:r>
        <w:t xml:space="preserve"> </w:t>
      </w:r>
      <w:r>
        <w:t xml:space="preserve">the manuscript and not in the source.</w:t>
      </w:r>
    </w:p>
    <w:p>
      <w:pPr>
        <w:pStyle w:val="BodyText"/>
      </w:pPr>
      <w:r>
        <w:rPr>
          <w:i/>
          <w:iCs/>
        </w:rPr>
        <w:t xml:space="preserve">Fixed.</w:t>
      </w:r>
      <w:r>
        <w:t xml:space="preserve"> </w:t>
      </w:r>
      <w:r>
        <w:t xml:space="preserve">The comment now states the current triple over 7,008 compounds and records what it used to</w:t>
      </w:r>
      <w:r>
        <w:t xml:space="preserve"> </w:t>
      </w:r>
      <w:r>
        <w:t xml:space="preserve">say and why the wrong denominator survived: 15,609 agrees with the H2 accuracy to three decimals, so</w:t>
      </w:r>
      <w:r>
        <w:t xml:space="preserve"> </w:t>
      </w:r>
      <w:r>
        <w:t xml:space="preserve">a wrong number sat beside a right-looking one.</w:t>
      </w:r>
    </w:p>
    <w:p>
      <w:pPr>
        <w:pStyle w:val="BodyText"/>
      </w:pPr>
      <w:r>
        <w:rPr>
          <w:b/>
          <w:bCs/>
        </w:rPr>
        <w:t xml:space="preserve">4. The interface quotes co-firing correlations that no longer match the artefact, and this one is</w:t>
      </w:r>
      <w:r>
        <w:rPr>
          <w:b/>
          <w:bCs/>
        </w:rPr>
        <w:t xml:space="preserve"> </w:t>
      </w:r>
      <w:r>
        <w:rPr>
          <w:b/>
          <w:bCs/>
        </w:rPr>
        <w:t xml:space="preserve">user-visible.</w:t>
      </w:r>
      <w:r>
        <w:t xml:space="preserve"> </w:t>
      </w:r>
      <w:r>
        <w:rPr>
          <w:rStyle w:val="VerbatimChar"/>
        </w:rPr>
        <w:t xml:space="preserve">FAMILY_COFIRE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app.py:529</w:t>
      </w:r>
      <w:r>
        <w:t xml:space="preserve"> </w:t>
      </w:r>
      <w:r>
        <w:t xml:space="preserve">supplies both a badge reading</w:t>
      </w:r>
      <w:r>
        <w:t xml:space="preserve"> </w:t>
      </w:r>
      <w:r>
        <w:t xml:space="preserve">“correlated, r = 0.81”</w:t>
      </w:r>
      <w:r>
        <w:t xml:space="preserve"> </w:t>
      </w:r>
      <w:r>
        <w:t xml:space="preserve">and a sentence of explanation, rendered on a result page whenever two members of a homology family</w:t>
      </w:r>
      <w:r>
        <w:t xml:space="preserve"> </w:t>
      </w:r>
      <w:r>
        <w:t xml:space="preserve">both fire (</w:t>
      </w:r>
      <w:r>
        <w:rPr>
          <w:rStyle w:val="VerbatimChar"/>
        </w:rPr>
        <w:t xml:space="preserve">app.py:1563-1570</w:t>
      </w:r>
      <w:r>
        <w:t xml:space="preserve">). Against</w:t>
      </w:r>
      <w:r>
        <w:t xml:space="preserve"> </w:t>
      </w:r>
      <w:r>
        <w:rPr>
          <w:rStyle w:val="VerbatimChar"/>
        </w:rPr>
        <w:t xml:space="preserve">H8_family_correlation.csv</w:t>
      </w:r>
      <w:r>
        <w:t xml:space="preserve"> </w:t>
      </w:r>
      <w:r>
        <w:t xml:space="preserve">as it now stands: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Shown to the user</w:t>
            </w:r>
          </w:p>
        </w:tc>
        <w:tc>
          <w:tcPr/>
          <w:p>
            <w:pPr>
              <w:pStyle w:val="Compact"/>
            </w:pPr>
            <w:r>
              <w:t xml:space="preserve">In the 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Dopamine D2-like</w:t>
            </w:r>
          </w:p>
        </w:tc>
        <w:tc>
          <w:tcPr/>
          <w:p>
            <w:pPr>
              <w:pStyle w:val="Compact"/>
            </w:pPr>
            <w:r>
              <w:t xml:space="preserve">r = 0.81; D2 and D3 fire together for 78% of compounds engaging D2</w:t>
            </w:r>
          </w:p>
        </w:tc>
        <w:tc>
          <w:tcPr/>
          <w:p>
            <w:pPr>
              <w:pStyle w:val="Compact"/>
            </w:pPr>
            <w:r>
              <w:t xml:space="preserve">phi = 0.720; 0.717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Opioid</w:t>
            </w:r>
          </w:p>
        </w:tc>
        <w:tc>
          <w:tcPr/>
          <w:p>
            <w:pPr>
              <w:pStyle w:val="Compact"/>
            </w:pPr>
            <w:r>
              <w:t xml:space="preserve">r = 0.79; kappa fires for 65% of compounds engaging mu</w:t>
            </w:r>
          </w:p>
        </w:tc>
        <w:tc>
          <w:tcPr/>
          <w:p>
            <w:pPr>
              <w:pStyle w:val="Compact"/>
            </w:pPr>
            <w:r>
              <w:t xml:space="preserve">phi = 0.798; 0.657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Monoamine transporters</w:t>
            </w:r>
          </w:p>
        </w:tc>
        <w:tc>
          <w:tcPr/>
          <w:p>
            <w:pPr>
              <w:pStyle w:val="Compact"/>
            </w:pPr>
            <w:r>
              <w:t xml:space="preserve">r = 0.64; NET fires for 84% of compounds engaging DAT</w:t>
            </w:r>
          </w:p>
        </w:tc>
        <w:tc>
          <w:tcPr/>
          <w:p>
            <w:pPr>
              <w:pStyle w:val="Compact"/>
            </w:pPr>
            <w:r>
              <w:t xml:space="preserve">strongest pair is SERT and NET at phi = 0.732; the DAT-to-NET conditional is 0.618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Serotonin receptors</w:t>
            </w:r>
          </w:p>
        </w:tc>
        <w:tc>
          <w:tcPr/>
          <w:p>
            <w:pPr>
              <w:pStyle w:val="Compact"/>
            </w:pPr>
            <w:r>
              <w:t xml:space="preserve">r = 0.70; 5-HT7 fires for 78% of compounds engaging 5-HT2A</w:t>
            </w:r>
          </w:p>
        </w:tc>
        <w:tc>
          <w:tcPr/>
          <w:p>
            <w:pPr>
              <w:pStyle w:val="Compact"/>
            </w:pPr>
            <w:r>
              <w:t xml:space="preserve">phi = 0.671; 0.659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Neuronal nicotinic</w:t>
            </w:r>
          </w:p>
        </w:tc>
        <w:tc>
          <w:tcPr/>
          <w:p>
            <w:pPr>
              <w:pStyle w:val="Compact"/>
            </w:pPr>
            <w:r>
              <w:t xml:space="preserve">r = 0.35; the least correlated family measured</w:t>
            </w:r>
          </w:p>
        </w:tc>
        <w:tc>
          <w:tcPr/>
          <w:p>
            <w:pPr>
              <w:pStyle w:val="Compact"/>
            </w:pPr>
            <w:r>
              <w:t xml:space="preserve">phi = 0.498; still the least correlated of the five estimable families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Voltage-gated sodium</w:t>
            </w:r>
          </w:p>
        </w:tc>
        <w:tc>
          <w:tcPr/>
          <w:p>
            <w:pPr>
              <w:pStyle w:val="Compac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</w:pPr>
            <w:r>
              <w:t xml:space="preserve">correct: no pair has an estimable phi</w:t>
            </w:r>
          </w:p>
        </w:tc>
      </w:tr>
    </w:tbl>
    <w:p>
      <w:pPr>
        <w:pStyle w:val="BodyText"/>
      </w:pPr>
      <w:r>
        <w:t xml:space="preserve">The accompanying comment says 36 targets fire spanning 14 independent directions,</w:t>
      </w:r>
      <w:r>
        <w:t xml:space="preserve"> </w:t>
      </w:r>
      <w:r>
        <w:t xml:space="preserve">“roughly 2.6-fold</w:t>
      </w:r>
      <w:r>
        <w:t xml:space="preserve"> </w:t>
      </w:r>
      <w:r>
        <w:t xml:space="preserve">redundant”</w:t>
      </w:r>
      <w:r>
        <w:t xml:space="preserve">, where the artefact says 37 and 16, a factor of 2.31. Every discrepancy is small and none</w:t>
      </w:r>
      <w:r>
        <w:t xml:space="preserve"> </w:t>
      </w:r>
      <w:r>
        <w:t xml:space="preserve">reverses a conclusion, but these are numbers presented to a scientist deciding how much weight two</w:t>
      </w:r>
      <w:r>
        <w:t xml:space="preserve"> </w:t>
      </w:r>
      <w:r>
        <w:t xml:space="preserve">engaged targets deserve, and the monoamine row names the wrong pair as the family’s strongest.</w:t>
      </w:r>
    </w:p>
    <w:p>
      <w:pPr>
        <w:pStyle w:val="BodyText"/>
      </w:pPr>
      <w:r>
        <w:rPr>
          <w:i/>
          <w:iCs/>
        </w:rPr>
        <w:t xml:space="preserve">Fixed, and the fix found a worse defect than this chapter had.</w:t>
      </w:r>
      <w:r>
        <w:t xml:space="preserve"> </w:t>
      </w:r>
      <w:r>
        <w:rPr>
          <w:rStyle w:val="VerbatimChar"/>
        </w:rPr>
        <w:t xml:space="preserve">FAMILY_COFIRE</w:t>
      </w:r>
      <w:r>
        <w:t xml:space="preserve"> </w:t>
      </w:r>
      <w:r>
        <w:t xml:space="preserve">is now derived from</w:t>
      </w:r>
      <w:r>
        <w:t xml:space="preserve"> </w:t>
      </w:r>
      <w:r>
        <w:t xml:space="preserve">the artefact by a function rather than restated, so it cannot drift again. Deriving it required the</w:t>
      </w:r>
      <w:r>
        <w:t xml:space="preserve"> </w:t>
      </w:r>
      <w:r>
        <w:t xml:space="preserve">artefact to carry denominators, because every rate in it is a multiple of 1/400 and a conditional</w:t>
      </w:r>
      <w:r>
        <w:t xml:space="preserve"> </w:t>
      </w:r>
      <w:r>
        <w:t xml:space="preserve">probability of 1.000 computed from a single joint compound is indistinguishable in the file from a</w:t>
      </w:r>
      <w:r>
        <w:t xml:space="preserve"> </w:t>
      </w:r>
      <w:r>
        <w:t xml:space="preserve">well-supported certainty. That is exactly what the nicotinic row was: the interface asserted</w:t>
      </w:r>
      <w:r>
        <w:t xml:space="preserve"> </w:t>
      </w:r>
      <w:r>
        <w:t xml:space="preserve">“r = 0.35, the least correlated family measured”</w:t>
      </w:r>
      <w:r>
        <w:t xml:space="preserve">, a family-level conclusion, on a pair whose joint</w:t>
      </w:r>
      <w:r>
        <w:t xml:space="preserve"> </w:t>
      </w:r>
      <w:r>
        <w:t xml:space="preserve">engagement rests on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approved drug.</w:t>
      </w:r>
      <w:r>
        <w:t xml:space="preserve"> </w:t>
      </w:r>
      <w:r>
        <w:rPr>
          <w:rStyle w:val="VerbatimChar"/>
        </w:rPr>
        <w:t xml:space="preserve">inv_panel_independence.py</w:t>
      </w:r>
      <w:r>
        <w:t xml:space="preserve"> </w:t>
      </w:r>
      <w:r>
        <w:t xml:space="preserve">now records</w:t>
      </w:r>
      <w:r>
        <w:t xml:space="preserve"> </w:t>
      </w:r>
      <w:r>
        <w:rPr>
          <w:rStyle w:val="VerbatimChar"/>
        </w:rPr>
        <w:t xml:space="preserve">n_drugs</w:t>
      </w:r>
      <w:r>
        <w:t xml:space="preserve">,</w:t>
      </w:r>
      <w:r>
        <w:t xml:space="preserve"> </w:t>
      </w:r>
      <w:r>
        <w:rPr>
          <w:rStyle w:val="VerbatimChar"/>
        </w:rPr>
        <w:t xml:space="preserve">n_a</w:t>
      </w:r>
      <w:r>
        <w:t xml:space="preserve">,</w:t>
      </w:r>
      <w:r>
        <w:t xml:space="preserve"> </w:t>
      </w:r>
      <w:r>
        <w:rPr>
          <w:rStyle w:val="VerbatimChar"/>
        </w:rPr>
        <w:t xml:space="preserve">n_b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n_joint</w:t>
      </w:r>
      <w:r>
        <w:t xml:space="preserve">, and a pair is reported only when at least ten approved drugs engage both.</w:t>
      </w:r>
      <w:r>
        <w:t xml:space="preserve"> </w:t>
      </w:r>
      <w:r>
        <w:t xml:space="preserve">Regenerating reproduced every pre-existing column exactly and left</w:t>
      </w:r>
      <w:r>
        <w:t xml:space="preserve"> </w:t>
      </w:r>
      <w:r>
        <w:rPr>
          <w:rStyle w:val="VerbatimChar"/>
        </w:rPr>
        <w:t xml:space="preserve">VERDICTS.csv</w:t>
      </w:r>
      <w:r>
        <w:t xml:space="preserve"> </w:t>
      </w:r>
      <w:r>
        <w:t xml:space="preserve">unchanged.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results/tables/background_specificity.csv</w:t>
      </w:r>
      <w:r>
        <w:rPr>
          <w:b/>
          <w:bCs/>
        </w:rPr>
        <w:t xml:space="preserve"> </w:t>
      </w:r>
      <w:r>
        <w:rPr>
          <w:b/>
          <w:bCs/>
        </w:rPr>
        <w:t xml:space="preserve">is the output of a script that has since been fixed</w:t>
      </w:r>
      <w:r>
        <w:rPr>
          <w:b/>
          <w:bCs/>
        </w:rPr>
        <w:t xml:space="preserve"> </w:t>
      </w:r>
      <w:r>
        <w:rPr>
          <w:b/>
          <w:bCs/>
        </w:rPr>
        <w:t xml:space="preserve">and never re-run.</w:t>
      </w:r>
      <w:r>
        <w:t xml:space="preserve"> </w:t>
      </w:r>
      <w:r>
        <w:t xml:space="preserve">It still reports a mean sensitivity of 0.8983 across 47 endpoints and marks 46 of</w:t>
      </w:r>
      <w:r>
        <w:t xml:space="preserve"> </w:t>
      </w:r>
      <w:r>
        <w:t xml:space="preserve">them reliable. The registry,</w:t>
      </w:r>
      <w:r>
        <w:t xml:space="preserve"> </w:t>
      </w:r>
      <w:r>
        <w:rPr>
          <w:rStyle w:val="VerbatimChar"/>
        </w:rPr>
        <w:t xml:space="preserve">final_thresholds.csv</w:t>
      </w:r>
      <w:r>
        <w:t xml:space="preserve"> </w:t>
      </w:r>
      <w:r>
        <w:t xml:space="preserve">and the reviewer package all say 0.7638 and 41 of</w:t>
      </w:r>
      <w:r>
        <w:t xml:space="preserve"> </w:t>
      </w:r>
      <w:r>
        <w:t xml:space="preserve">47. This is not a second occurrence of the Chapter 5 defect. The source was repaired on 27 August and</w:t>
      </w:r>
      <w:r>
        <w:t xml:space="preserve"> </w:t>
      </w:r>
      <w:r>
        <w:t xml:space="preserve">the registry patched directly on 30 August, deliberately, because re-running the threshold sequence</w:t>
      </w:r>
      <w:r>
        <w:t xml:space="preserve"> </w:t>
      </w:r>
      <w:r>
        <w:t xml:space="preserve">had regressed the project once before. The artefact was simply left holding the old output. The</w:t>
      </w:r>
      <w:r>
        <w:t xml:space="preserve"> </w:t>
      </w:r>
      <w:r>
        <w:t xml:space="preserve">freshness graph does not catch it because the graph’s inputs are data and models, never code: a</w:t>
      </w:r>
      <w:r>
        <w:t xml:space="preserve"> </w:t>
      </w:r>
      <w:r>
        <w:t xml:space="preserve">generator can be corrected without anything marking its output stale. That is a real gap in a tool</w:t>
      </w:r>
      <w:r>
        <w:t xml:space="preserve"> </w:t>
      </w:r>
      <w:r>
        <w:t xml:space="preserve">this project relies on. It is stated here rather than fixed, because regenerating this file means</w:t>
      </w:r>
      <w:r>
        <w:t xml:space="preserve"> </w:t>
      </w:r>
      <w:r>
        <w:t xml:space="preserve">re-running the sequence the correction was designed to avoid.</w:t>
      </w:r>
    </w:p>
    <w:p>
      <w:pPr>
        <w:pStyle w:val="BodyText"/>
      </w:pPr>
      <w:r>
        <w:rPr>
          <w:i/>
          <w:iCs/>
        </w:rPr>
        <w:t xml:space="preserve">Fixed, without re-running the sequence.</w:t>
      </w:r>
      <w:r>
        <w:t xml:space="preserve"> </w:t>
      </w:r>
      <w:r>
        <w:t xml:space="preserve">The dilemma above was real and the resolution is narrower</w:t>
      </w:r>
      <w:r>
        <w:t xml:space="preserve"> </w:t>
      </w:r>
      <w:r>
        <w:t xml:space="preserve">than either horn of it. Four of the file’s six columns were already correct; only the two reported</w:t>
      </w:r>
      <w:r>
        <w:t xml:space="preserve"> </w:t>
      </w:r>
      <w:r>
        <w:t xml:space="preserve">ones were stale.</w:t>
      </w:r>
      <w:r>
        <w:t xml:space="preserve"> </w:t>
      </w:r>
      <w:r>
        <w:rPr>
          <w:rStyle w:val="VerbatimChar"/>
        </w:rPr>
        <w:t xml:space="preserve">refresh_background_specificity.py</w:t>
      </w:r>
      <w:r>
        <w:t xml:space="preserve"> </w:t>
      </w:r>
      <w:r>
        <w:t xml:space="preserve">updates those two from the registry and leaves</w:t>
      </w:r>
      <w:r>
        <w:t xml:space="preserve"> </w:t>
      </w:r>
      <w:r>
        <w:t xml:space="preserve">every operating threshold untouched, which is verifiable: after the repair no threshold and no</w:t>
      </w:r>
      <w:r>
        <w:t xml:space="preserve"> </w:t>
      </w:r>
      <w:r>
        <w:t xml:space="preserve">background false-positive rate moved on any of the 47 endpoints, and the file now agrees with the</w:t>
      </w:r>
      <w:r>
        <w:t xml:space="preserve"> </w:t>
      </w:r>
      <w:r>
        <w:t xml:space="preserve">registry on all 47 with zero disagreements. A byte-identical copy shipped in the submission package</w:t>
      </w:r>
      <w:r>
        <w:t xml:space="preserve"> </w:t>
      </w:r>
      <w:r>
        <w:t xml:space="preserve">and was updated with it, which matters more than the local file:</w:t>
      </w:r>
      <w:r>
        <w:t xml:space="preserve"> </w:t>
      </w:r>
      <w:r>
        <w:rPr>
          <w:b/>
          <w:bCs/>
        </w:rPr>
        <w:t xml:space="preserve">the disagreement was visible to</w:t>
      </w:r>
      <w:r>
        <w:rPr>
          <w:b/>
          <w:bCs/>
        </w:rPr>
        <w:t xml:space="preserve"> </w:t>
      </w:r>
      <w:r>
        <w:rPr>
          <w:b/>
          <w:bCs/>
        </w:rPr>
        <w:t xml:space="preserve">reviewers before it was visible to us.</w:t>
      </w:r>
      <w:r>
        <w:t xml:space="preserve"> </w:t>
      </w:r>
      <w:r>
        <w:t xml:space="preserve">Two tests now pin both, since the freshness graph cannot</w:t>
      </w:r>
      <w:r>
        <w:t xml:space="preserve"> </w:t>
      </w:r>
      <w:r>
        <w:t xml:space="preserve">catch this class for the reason recorded at</w:t>
      </w:r>
      <w:r>
        <w:t xml:space="preserve"> </w:t>
      </w:r>
      <w:r>
        <w:rPr>
          <w:rStyle w:val="VerbatimChar"/>
        </w:rPr>
        <w:t xml:space="preserve">check_freshness.py:110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Three pieces of explanatory prose have drifted from their artefacts.</w:t>
      </w:r>
      <w:r>
        <w:t xml:space="preserve"> </w:t>
      </w:r>
      <w:r>
        <w:t xml:space="preserve">The H7 script’s docstring</w:t>
      </w:r>
      <w:r>
        <w:t xml:space="preserve"> </w:t>
      </w:r>
      <w:r>
        <w:t xml:space="preserve">says deployed sensitivity</w:t>
      </w:r>
      <w:r>
        <w:t xml:space="preserve"> </w:t>
      </w:r>
      <w:r>
        <w:t xml:space="preserve">“ranges from 0.26 to 0.98”</w:t>
      </w:r>
      <w:r>
        <w:t xml:space="preserve">; the artefact says 0.000 to 0.990. The H4</w:t>
      </w:r>
      <w:r>
        <w:t xml:space="preserve"> </w:t>
      </w:r>
      <w:r>
        <w:t xml:space="preserve">comparator docstring says the distant-chemistry rate is 0.080; the artefact says 0.075. And</w:t>
      </w:r>
      <w:r>
        <w:t xml:space="preserve"> </w:t>
      </w:r>
      <w:r>
        <w:rPr>
          <w:rStyle w:val="VerbatimChar"/>
        </w:rPr>
        <w:t xml:space="preserve">inversion/H1H2H3.log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H4.log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H5.log</w:t>
      </w:r>
      <w:r>
        <w:t xml:space="preserve"> </w:t>
      </w:r>
      <w:r>
        <w:t xml:space="preserve">are the 4 August run, retained unchanged through four</w:t>
      </w:r>
      <w:r>
        <w:t xml:space="preserve"> </w:t>
      </w:r>
      <w:r>
        <w:t xml:space="preserve">regenerations, so the stored log records</w:t>
      </w:r>
      <w:r>
        <w:t xml:space="preserve"> </w:t>
      </w:r>
      <w:r>
        <w:t xml:space="preserve">“VERDICT H2: WEAKENED”</w:t>
      </w:r>
      <w:r>
        <w:t xml:space="preserve"> </w:t>
      </w:r>
      <w:r>
        <w:t xml:space="preserve">beside a published verdict of</w:t>
      </w:r>
      <w:r>
        <w:t xml:space="preserve"> </w:t>
      </w:r>
      <w:r>
        <w:t xml:space="preserve">REFUTED. None is load-bearing, and all three are the kind of drift that makes a reader distrust the</w:t>
      </w:r>
      <w:r>
        <w:t xml:space="preserve"> </w:t>
      </w:r>
      <w:r>
        <w:t xml:space="preserve">figures that are.</w:t>
      </w:r>
    </w:p>
    <w:bookmarkEnd w:id="18"/>
    <w:bookmarkStart w:id="19" w:name="what-a-falsification-suite-cannot-do"/>
    <w:p>
      <w:pPr>
        <w:pStyle w:val="Heading2"/>
      </w:pPr>
      <w:r>
        <w:t xml:space="preserve">9.9 What a falsification suite cannot do</w:t>
      </w:r>
    </w:p>
    <w:p>
      <w:pPr>
        <w:pStyle w:val="FirstParagraph"/>
      </w:pPr>
      <w:r>
        <w:t xml:space="preserve">Three limits, stated because the suite is the strongest evidence in this thesis and overreading it</w:t>
      </w:r>
      <w:r>
        <w:t xml:space="preserve"> </w:t>
      </w:r>
      <w:r>
        <w:t xml:space="preserve">would be easy.</w:t>
      </w:r>
    </w:p>
    <w:p>
      <w:pPr>
        <w:pStyle w:val="BodyText"/>
      </w:pPr>
      <w:r>
        <w:rPr>
          <w:b/>
          <w:bCs/>
        </w:rPr>
        <w:t xml:space="preserve">It tests what its author thought to doubt.</w:t>
      </w:r>
      <w:r>
        <w:t xml:space="preserve"> </w:t>
      </w:r>
      <w:r>
        <w:t xml:space="preserve">All nine hypotheses were written by the person who</w:t>
      </w:r>
      <w:r>
        <w:t xml:space="preserve"> </w:t>
      </w:r>
      <w:r>
        <w:t xml:space="preserve">built the system. The suite is an excellent instrument against self-deception about things one has</w:t>
      </w:r>
      <w:r>
        <w:t xml:space="preserve"> </w:t>
      </w:r>
      <w:r>
        <w:t xml:space="preserve">noticed and no instrument at all against things one has not. Its own history illustrates the point:</w:t>
      </w:r>
      <w:r>
        <w:t xml:space="preserve"> </w:t>
      </w:r>
      <w:r>
        <w:t xml:space="preserve">H8 and H9 do not appear in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 which stops at H7, and H9 was written only after H6 returned a</w:t>
      </w:r>
      <w:r>
        <w:t xml:space="preserve"> </w:t>
      </w:r>
      <w:r>
        <w:t xml:space="preserve">result its author judged unfairly scored. Three of the nine hypotheses exist because earlier ones</w:t>
      </w:r>
      <w:r>
        <w:t xml:space="preserve"> </w:t>
      </w:r>
      <w:r>
        <w:t xml:space="preserve">produced surprises, which is the right way for a suite to grow and also an admission that its initial</w:t>
      </w:r>
      <w:r>
        <w:t xml:space="preserve"> </w:t>
      </w:r>
      <w:r>
        <w:t xml:space="preserve">coverage was set by intuition.</w:t>
      </w:r>
    </w:p>
    <w:p>
      <w:pPr>
        <w:pStyle w:val="BodyText"/>
      </w:pPr>
      <w:r>
        <w:rPr>
          <w:b/>
          <w:bCs/>
        </w:rPr>
        <w:t xml:space="preserve">Nothing in it tests the barrier model.</w:t>
      </w:r>
      <w:r>
        <w:t xml:space="preserve"> </w:t>
      </w:r>
      <w:r>
        <w:t xml:space="preserve">H1, H2, H3, H6 and H9 test the disease layer; H5 tests</w:t>
      </w:r>
      <w:r>
        <w:t xml:space="preserve"> </w:t>
      </w:r>
      <w:r>
        <w:t xml:space="preserve">read-across; H7 and H8 test the target panel; H4 tests system-level specificity. The BBB classifier,</w:t>
      </w:r>
      <w:r>
        <w:t xml:space="preserve"> </w:t>
      </w:r>
      <w:r>
        <w:t xml:space="preserve">which gates every disease score and is the component the whole architecture is named for, has no</w:t>
      </w:r>
      <w:r>
        <w:t xml:space="preserve"> </w:t>
      </w:r>
      <w:r>
        <w:t xml:space="preserve">hypothesis. Its evidence is the external set in Chapter 8, AUROC 0.7934 on 241 unseen drugs, which is</w:t>
      </w:r>
      <w:r>
        <w:t xml:space="preserve"> </w:t>
      </w:r>
      <w:r>
        <w:t xml:space="preserve">a validation and not a falsification. The obvious missing test is a null asking whether the barrier</w:t>
      </w:r>
      <w:r>
        <w:t xml:space="preserve"> </w:t>
      </w:r>
      <w:r>
        <w:t xml:space="preserve">model’s contribution to the gated score could be replaced by a molecular-weight or cLogP rule without</w:t>
      </w:r>
      <w:r>
        <w:t xml:space="preserve"> </w:t>
      </w:r>
      <w:r>
        <w:t xml:space="preserve">loss. That test does not exist and should.</w:t>
      </w:r>
    </w:p>
    <w:p>
      <w:pPr>
        <w:pStyle w:val="BodyText"/>
      </w:pPr>
      <w:r>
        <w:rPr>
          <w:b/>
          <w:bCs/>
        </w:rPr>
        <w:t xml:space="preserve">A verdict is a summary of one measurement, not a property of the system.</w:t>
      </w:r>
      <w:r>
        <w:t xml:space="preserve"> </w:t>
      </w:r>
      <w:r>
        <w:t xml:space="preserve">H4 is SUPPORTED on 61</w:t>
      </w:r>
      <w:r>
        <w:t xml:space="preserve"> </w:t>
      </w:r>
      <w:r>
        <w:t xml:space="preserve">compounds; H5 is SUPPORTED against a null with a ceiling near 0.09; H9 is SUPPORTED on a mean</w:t>
      </w:r>
      <w:r>
        <w:t xml:space="preserve"> </w:t>
      </w:r>
      <w:r>
        <w:t xml:space="preserve">per-indication AUROC of 0.6158 that conceals a range from 0.7981 for depression down to 0.4898 for</w:t>
      </w:r>
      <w:r>
        <w:t xml:space="preserve"> </w:t>
      </w:r>
      <w:r>
        <w:t xml:space="preserve">epilepsy. The verdict column is the least informative part of</w:t>
      </w:r>
      <w:r>
        <w:t xml:space="preserve"> </w:t>
      </w:r>
      <w:r>
        <w:rPr>
          <w:rStyle w:val="VerbatimChar"/>
        </w:rPr>
        <w:t xml:space="preserve">VERDICTS.csv</w:t>
      </w:r>
      <w:r>
        <w:t xml:space="preserve">, and any use of this</w:t>
      </w:r>
      <w:r>
        <w:t xml:space="preserve"> </w:t>
      </w:r>
      <w:r>
        <w:t xml:space="preserve">suite that reads the column rather than the tables will overstate what it found.</w:t>
      </w:r>
    </w:p>
    <w:bookmarkEnd w:id="19"/>
    <w:bookmarkStart w:id="20" w:name="what-this-chapter-establishes"/>
    <w:p>
      <w:pPr>
        <w:pStyle w:val="Heading2"/>
      </w:pPr>
      <w:r>
        <w:t xml:space="preserve">9.10 What this chapter establishes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suite is the most valuable evidence in this thesis, and it is valuable in proportion to what</w:t>
      </w:r>
      <w:r>
        <w:rPr>
          <w:b/>
          <w:bCs/>
        </w:rPr>
        <w:t xml:space="preserve"> </w:t>
      </w:r>
      <w:r>
        <w:rPr>
          <w:b/>
          <w:bCs/>
        </w:rPr>
        <w:t xml:space="preserve">it refuted.</w:t>
      </w:r>
      <w:r>
        <w:t xml:space="preserve"> </w:t>
      </w:r>
      <w:r>
        <w:t xml:space="preserve">Four of nine central claims did not survive. Two changed how the system is described,</w:t>
      </w:r>
      <w:r>
        <w:t xml:space="preserve"> </w:t>
      </w:r>
      <w:r>
        <w:t xml:space="preserve">one changed the interface, and one contributed to withdrawing four endpoints that were firing on</w:t>
      </w:r>
      <w:r>
        <w:t xml:space="preserve"> </w:t>
      </w:r>
      <w:r>
        <w:t xml:space="preserve">glucose, urea and lactate.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Its best result was incidental.</w:t>
      </w:r>
      <w:r>
        <w:t xml:space="preserve"> </w:t>
      </w:r>
      <w:r>
        <w:t xml:space="preserve">H7’s sensitivity column recorded the correct panel figure three</w:t>
      </w:r>
      <w:r>
        <w:t xml:space="preserve"> </w:t>
      </w:r>
      <w:r>
        <w:t xml:space="preserve">weeks before anything compared it with the published one, and it agreed with the eventual audit to</w:t>
      </w:r>
      <w:r>
        <w:t xml:space="preserve"> </w:t>
      </w:r>
      <w:r>
        <w:t xml:space="preserve">within 0.031 by an entirely unrelated construction.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of its four supported verdicts are weaker than the word suggests.</w:t>
      </w:r>
      <w:r>
        <w:t xml:space="preserve"> </w:t>
      </w:r>
      <w:r>
        <w:t xml:space="preserve">H4 rests on one false</w:t>
      </w:r>
      <w:r>
        <w:t xml:space="preserve"> </w:t>
      </w:r>
      <w:r>
        <w:t xml:space="preserve">positive in 61 compounds, with an interval containing its own comparator; the defensible claim is</w:t>
      </w:r>
      <w:r>
        <w:t xml:space="preserve"> </w:t>
      </w:r>
      <w:r>
        <w:t xml:space="preserve">that specificity does not degrade with distance, not that it improves. H5 measures retrieval in a</w:t>
      </w:r>
      <w:r>
        <w:t xml:space="preserve"> </w:t>
      </w:r>
      <w:r>
        <w:t xml:space="preserve">regime where the query’s chemical family is present in the index, against a null the design of the</w:t>
      </w:r>
      <w:r>
        <w:t xml:space="preserve"> </w:t>
      </w:r>
      <w:r>
        <w:t xml:space="preserve">evaluation set caps near 0.09.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permutation null now exists.</w:t>
      </w:r>
      <w:r>
        <w:t xml:space="preserve"> </w:t>
      </w:r>
      <w:r>
        <w:t xml:space="preserve">The one claim in the validation programme that no artefact</w:t>
      </w:r>
      <w:r>
        <w:t xml:space="preserve"> </w:t>
      </w:r>
      <w:r>
        <w:t xml:space="preserve">supported has been computed from the same pipeline and written to a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suite is not maintained to the standard of the pipeline it audits.</w:t>
      </w:r>
      <w:r>
        <w:t xml:space="preserve"> </w:t>
      </w:r>
      <w:r>
        <w:t xml:space="preserve">A verdict rule that</w:t>
      </w:r>
      <w:r>
        <w:t xml:space="preserve"> </w:t>
      </w:r>
      <w:r>
        <w:t xml:space="preserve">disagrees with itself, no test pinning any verdict, two stale citations in the served application,</w:t>
      </w:r>
      <w:r>
        <w:t xml:space="preserve"> </w:t>
      </w:r>
      <w:r>
        <w:t xml:space="preserve">one of them user-visible, and an artefact holding the output of a script that has since been fixed.</w:t>
      </w:r>
    </w:p>
    <w:bookmarkEnd w:id="20"/>
    <w:bookmarkEnd w:id="21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2026-09-06T10:31:21Z</dcterms:created>
  <dcterms:modified xsi:type="dcterms:W3CDTF">2026-09-06T10:31:21Z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